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方正小标宋简体" w:hAnsi="黑体" w:eastAsia="方正小标宋简体"/>
          <w:sz w:val="44"/>
          <w:szCs w:val="44"/>
          <w:highlight w:val="none"/>
          <w:lang w:val="en-US" w:eastAsia="zh-CN"/>
        </w:rPr>
      </w:pPr>
      <w:bookmarkStart w:id="0" w:name="_GoBack"/>
      <w:bookmarkEnd w:id="0"/>
      <w:r>
        <w:rPr>
          <w:rFonts w:hint="eastAsia" w:ascii="方正小标宋简体" w:hAnsi="黑体" w:eastAsia="方正小标宋简体"/>
          <w:sz w:val="44"/>
          <w:szCs w:val="44"/>
        </w:rPr>
        <w:t>鄂州市住房公积金行政</w:t>
      </w:r>
      <w:r>
        <w:rPr>
          <w:rFonts w:hint="eastAsia" w:ascii="方正小标宋简体" w:hAnsi="黑体" w:eastAsia="方正小标宋简体"/>
          <w:sz w:val="44"/>
          <w:szCs w:val="44"/>
          <w:highlight w:val="none"/>
        </w:rPr>
        <w:t>执法</w:t>
      </w:r>
      <w:r>
        <w:rPr>
          <w:rFonts w:hint="eastAsia" w:ascii="方正小标宋简体" w:hAnsi="黑体" w:eastAsia="方正小标宋简体"/>
          <w:sz w:val="44"/>
          <w:szCs w:val="44"/>
          <w:highlight w:val="none"/>
          <w:lang w:val="en-US" w:eastAsia="zh-CN"/>
        </w:rPr>
        <w:t>暂行办法</w:t>
      </w:r>
    </w:p>
    <w:p>
      <w:pPr>
        <w:spacing w:line="220" w:lineRule="atLeast"/>
        <w:jc w:val="center"/>
        <w:rPr>
          <w:rFonts w:hint="default" w:ascii="方正小标宋简体" w:hAnsi="黑体" w:eastAsia="方正小标宋简体"/>
          <w:sz w:val="44"/>
          <w:szCs w:val="44"/>
          <w:highlight w:val="none"/>
          <w:lang w:val="en-US" w:eastAsia="zh-CN"/>
        </w:rPr>
      </w:pPr>
      <w:r>
        <w:rPr>
          <w:rFonts w:hint="eastAsia" w:ascii="方正小标宋简体" w:hAnsi="黑体" w:eastAsia="方正小标宋简体"/>
          <w:sz w:val="44"/>
          <w:szCs w:val="44"/>
          <w:highlight w:val="none"/>
          <w:lang w:val="en-US" w:eastAsia="zh-CN"/>
        </w:rPr>
        <w:t>（征求意见稿）</w:t>
      </w:r>
    </w:p>
    <w:p>
      <w:pPr>
        <w:shd w:val="clear" w:color="auto" w:fill="FFFFFF"/>
        <w:adjustRightInd/>
        <w:snapToGrid/>
        <w:spacing w:after="0" w:line="480" w:lineRule="atLeast"/>
        <w:jc w:val="center"/>
        <w:rPr>
          <w:rFonts w:hint="eastAsia" w:ascii="Arial" w:hAnsi="Arial" w:eastAsia="宋体" w:cs="Arial"/>
          <w:sz w:val="24"/>
          <w:szCs w:val="24"/>
          <w:lang w:val="en-US" w:eastAsia="zh-CN"/>
        </w:rPr>
      </w:pPr>
      <w:r>
        <w:rPr>
          <w:rFonts w:ascii="Arial" w:hAnsi="Arial" w:eastAsia="宋体" w:cs="Arial"/>
          <w:b/>
          <w:bCs/>
          <w:sz w:val="24"/>
          <w:szCs w:val="24"/>
        </w:rPr>
        <w:t>第一章  总则</w:t>
      </w:r>
      <w:r>
        <w:rPr>
          <w:rFonts w:hint="eastAsia" w:ascii="Arial" w:hAnsi="Arial" w:eastAsia="宋体" w:cs="Arial"/>
          <w:b/>
          <w:bCs/>
          <w:sz w:val="24"/>
          <w:szCs w:val="24"/>
          <w:lang w:val="en-US" w:eastAsia="zh-CN"/>
        </w:rPr>
        <w:t xml:space="preserve"> </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第一条</w:t>
      </w:r>
      <w:r>
        <w:rPr>
          <w:rFonts w:ascii="Arial" w:hAnsi="Arial" w:eastAsia="宋体" w:cs="Arial"/>
          <w:sz w:val="24"/>
          <w:szCs w:val="24"/>
        </w:rPr>
        <w:t>  【法律依据】为规范</w:t>
      </w:r>
      <w:r>
        <w:rPr>
          <w:rFonts w:hint="eastAsia" w:ascii="Arial" w:hAnsi="Arial" w:eastAsia="宋体" w:cs="Arial"/>
          <w:sz w:val="24"/>
          <w:szCs w:val="24"/>
        </w:rPr>
        <w:t>鄂州</w:t>
      </w:r>
      <w:r>
        <w:rPr>
          <w:rFonts w:ascii="Arial" w:hAnsi="Arial" w:eastAsia="宋体" w:cs="Arial"/>
          <w:sz w:val="24"/>
          <w:szCs w:val="24"/>
        </w:rPr>
        <w:t>住房公积金行政执法工作，依据《中华人民共和国行政处罚法》《住房公积金管理条例》（以下简称《条例》</w:t>
      </w:r>
      <w:r>
        <w:rPr>
          <w:rFonts w:ascii="Arial" w:hAnsi="Arial" w:eastAsia="宋体" w:cs="Arial"/>
          <w:sz w:val="24"/>
          <w:szCs w:val="24"/>
          <w:highlight w:val="none"/>
        </w:rPr>
        <w:t>）《</w:t>
      </w:r>
      <w:r>
        <w:rPr>
          <w:rFonts w:hint="eastAsia" w:eastAsia="宋体"/>
          <w:highlight w:val="none"/>
          <w:shd w:val="clear" w:color="auto" w:fill="FFFFFF"/>
          <w:lang w:val="en-US" w:eastAsia="zh-CN"/>
        </w:rPr>
        <w:t>湖北省行政执法条例</w:t>
      </w:r>
      <w:r>
        <w:rPr>
          <w:rFonts w:ascii="Arial" w:hAnsi="Arial" w:eastAsia="宋体" w:cs="Arial"/>
          <w:sz w:val="24"/>
          <w:szCs w:val="24"/>
          <w:highlight w:val="none"/>
        </w:rPr>
        <w:t>》等法</w:t>
      </w:r>
      <w:r>
        <w:rPr>
          <w:rFonts w:ascii="Arial" w:hAnsi="Arial" w:eastAsia="宋体" w:cs="Arial"/>
          <w:sz w:val="24"/>
          <w:szCs w:val="24"/>
        </w:rPr>
        <w:t>律、法规及相关规定，制定本规范。</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第二条</w:t>
      </w:r>
      <w:r>
        <w:rPr>
          <w:rFonts w:ascii="Arial" w:hAnsi="Arial" w:eastAsia="宋体" w:cs="Arial"/>
          <w:sz w:val="24"/>
          <w:szCs w:val="24"/>
        </w:rPr>
        <w:t>  【行政执法主体】</w:t>
      </w:r>
      <w:r>
        <w:rPr>
          <w:rFonts w:hint="eastAsia" w:ascii="Arial" w:hAnsi="Arial" w:eastAsia="宋体" w:cs="Arial"/>
          <w:sz w:val="24"/>
          <w:szCs w:val="24"/>
        </w:rPr>
        <w:t>鄂州市</w:t>
      </w:r>
      <w:r>
        <w:rPr>
          <w:rFonts w:ascii="Arial" w:hAnsi="Arial" w:eastAsia="宋体" w:cs="Arial"/>
          <w:sz w:val="24"/>
          <w:szCs w:val="24"/>
        </w:rPr>
        <w:t>住房公积金中心（以下简称中心）依据相关法律法规规定，依法对单位缴存住房公积金有关情况开展执法检查，对违反住房公积金法律法规规定的行为进行调查取证以及作出行政处理、处罚决定和申请人民法院强制执行等。</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第三条</w:t>
      </w:r>
      <w:r>
        <w:rPr>
          <w:rFonts w:ascii="Arial" w:hAnsi="Arial" w:eastAsia="宋体" w:cs="Arial"/>
          <w:sz w:val="24"/>
          <w:szCs w:val="24"/>
        </w:rPr>
        <w:t>  【住房公积金违法违规行为】住房公积金违法违规行为是指有缴存住房公积金义务的单位，违反《条例》等住房公积金法律、法规及相关规定的行为。</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1.不办理住房公积金缴存登记；</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2.不为职工办理住房公积金账户设立手续；</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3.不为职工按时、足额缴存住房公积金；</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4.执法检查过程中拒不配合或不如实提供与缴存住房公积金有关材料。</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第四条</w:t>
      </w:r>
      <w:r>
        <w:rPr>
          <w:rFonts w:ascii="Arial" w:hAnsi="Arial" w:eastAsia="宋体" w:cs="Arial"/>
          <w:sz w:val="24"/>
          <w:szCs w:val="24"/>
        </w:rPr>
        <w:t>  【执法部门职责】执法部门按照本《</w:t>
      </w:r>
      <w:r>
        <w:rPr>
          <w:rFonts w:hint="eastAsia" w:ascii="Arial" w:hAnsi="Arial" w:eastAsia="宋体" w:cs="Arial"/>
          <w:sz w:val="24"/>
          <w:szCs w:val="24"/>
          <w:lang w:val="en-US" w:eastAsia="zh-CN"/>
        </w:rPr>
        <w:t>办法</w:t>
      </w:r>
      <w:r>
        <w:rPr>
          <w:rFonts w:ascii="Arial" w:hAnsi="Arial" w:eastAsia="宋体" w:cs="Arial"/>
          <w:sz w:val="24"/>
          <w:szCs w:val="24"/>
        </w:rPr>
        <w:t>》规定，依法依规办理行政执法案件，开展执法检查，并充分保障当事人（含投诉人、被诉单位，下同）的知情权、确认权、申请回避权、陈述及申辩权等权利。</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第五条  【</w:t>
      </w:r>
      <w:r>
        <w:rPr>
          <w:rFonts w:ascii="Arial" w:hAnsi="Arial" w:eastAsia="宋体" w:cs="Arial"/>
          <w:sz w:val="24"/>
          <w:szCs w:val="24"/>
        </w:rPr>
        <w:t>调解执法专班职责</w:t>
      </w:r>
      <w:r>
        <w:rPr>
          <w:rFonts w:ascii="Arial" w:hAnsi="Arial" w:eastAsia="宋体" w:cs="Arial"/>
          <w:b/>
          <w:bCs/>
          <w:sz w:val="24"/>
          <w:szCs w:val="24"/>
        </w:rPr>
        <w:t>】</w:t>
      </w:r>
      <w:r>
        <w:rPr>
          <w:rFonts w:ascii="Arial" w:hAnsi="Arial" w:eastAsia="宋体" w:cs="Arial"/>
          <w:sz w:val="24"/>
          <w:szCs w:val="24"/>
        </w:rPr>
        <w:t>调解执法专班按照本《规范》规定，依法依规开展住房公积金纠纷调解工作。</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第六条</w:t>
      </w:r>
      <w:r>
        <w:rPr>
          <w:rFonts w:ascii="Arial" w:hAnsi="Arial" w:eastAsia="宋体" w:cs="Arial"/>
          <w:sz w:val="24"/>
          <w:szCs w:val="24"/>
        </w:rPr>
        <w:t>  【行政执法人员】行政执法人员应依法取得</w:t>
      </w:r>
      <w:r>
        <w:rPr>
          <w:rFonts w:hint="eastAsia" w:ascii="Arial" w:hAnsi="Arial" w:eastAsia="宋体" w:cs="Arial"/>
          <w:sz w:val="24"/>
          <w:szCs w:val="24"/>
        </w:rPr>
        <w:t>鄂州</w:t>
      </w:r>
      <w:r>
        <w:rPr>
          <w:rFonts w:ascii="Arial" w:hAnsi="Arial" w:eastAsia="宋体" w:cs="Arial"/>
          <w:sz w:val="24"/>
          <w:szCs w:val="24"/>
        </w:rPr>
        <w:t>市人民政府颁发的行政执法证件，依据法律、法规及相关规定履行职责。</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第七条</w:t>
      </w:r>
      <w:r>
        <w:rPr>
          <w:rFonts w:ascii="Arial" w:hAnsi="Arial" w:eastAsia="宋体" w:cs="Arial"/>
          <w:sz w:val="24"/>
          <w:szCs w:val="24"/>
        </w:rPr>
        <w:t>  【基本原则】开展行政执法工作应以事实为根据，以法律为准绳；公正、公开、合理地行使法律、法规、规章赋予的行政执法职权；遵循实事求是、违法违规应纠尽纠、过罚相当的原则；严格文明执法，规范执法行为；坚持处罚与教育相结合，教育公民、法人或者其他组织自觉守法。</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第八条</w:t>
      </w:r>
      <w:r>
        <w:rPr>
          <w:rFonts w:ascii="Arial" w:hAnsi="Arial" w:eastAsia="宋体" w:cs="Arial"/>
          <w:sz w:val="24"/>
          <w:szCs w:val="24"/>
        </w:rPr>
        <w:t>  【回避】案件办理中，执法人员均应按照相关法律法规规定，严格履行回避责任，对于当事人申请回避的，应上报执法部门负责人审批后视情况决定是否更换执法人员。在回避决定未作出前，执法人员不停止相应工作。</w:t>
      </w:r>
    </w:p>
    <w:p>
      <w:pPr>
        <w:shd w:val="clear" w:color="auto" w:fill="FFFFFF"/>
        <w:adjustRightInd/>
        <w:snapToGrid/>
        <w:spacing w:after="0" w:line="480" w:lineRule="atLeast"/>
        <w:rPr>
          <w:rFonts w:ascii="黑体" w:hAnsi="黑体" w:eastAsia="黑体"/>
          <w:sz w:val="36"/>
        </w:rPr>
      </w:pPr>
      <w:r>
        <w:rPr>
          <w:rFonts w:ascii="Arial" w:hAnsi="Arial" w:eastAsia="宋体" w:cs="Arial"/>
          <w:sz w:val="24"/>
          <w:szCs w:val="24"/>
        </w:rPr>
        <w:t>　　</w:t>
      </w:r>
      <w:r>
        <w:rPr>
          <w:rFonts w:ascii="Arial" w:hAnsi="Arial" w:eastAsia="宋体" w:cs="Arial"/>
          <w:b/>
          <w:bCs/>
          <w:sz w:val="24"/>
          <w:szCs w:val="24"/>
        </w:rPr>
        <w:t>第九条</w:t>
      </w:r>
      <w:r>
        <w:rPr>
          <w:rFonts w:ascii="Arial" w:hAnsi="Arial" w:eastAsia="宋体" w:cs="Arial"/>
          <w:sz w:val="24"/>
          <w:szCs w:val="24"/>
        </w:rPr>
        <w:t>  【行政处罚标准】住房公积金行政执法的处罚标准按照湖北省住房和城乡建设行政处罚裁量基准（2021）（住房公积金管理）执行。</w:t>
      </w:r>
    </w:p>
    <w:p>
      <w:pPr>
        <w:shd w:val="clear" w:color="auto" w:fill="FFFFFF"/>
        <w:adjustRightInd/>
        <w:snapToGrid/>
        <w:spacing w:after="0" w:line="480" w:lineRule="atLeast"/>
        <w:jc w:val="center"/>
        <w:rPr>
          <w:rFonts w:ascii="Arial" w:hAnsi="Arial" w:eastAsia="宋体" w:cs="Arial"/>
          <w:sz w:val="24"/>
          <w:szCs w:val="24"/>
        </w:rPr>
      </w:pPr>
      <w:r>
        <w:rPr>
          <w:rFonts w:ascii="Arial" w:hAnsi="Arial" w:eastAsia="宋体" w:cs="Arial"/>
          <w:b/>
          <w:bCs/>
          <w:sz w:val="24"/>
          <w:szCs w:val="24"/>
        </w:rPr>
        <w:t>第二章  投诉登记与受理</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投诉人向中心所属执法部门反映其所在单位存在不办理住房公积金缴存登记、不为本人办理住房公积金账户设立手续或不为本人按时、足额缴存住房公积金的行为，并提供相关证据材料，执法部门应依法受理。</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第十条</w:t>
      </w:r>
      <w:r>
        <w:rPr>
          <w:rFonts w:ascii="Arial" w:hAnsi="Arial" w:eastAsia="宋体" w:cs="Arial"/>
          <w:sz w:val="24"/>
          <w:szCs w:val="24"/>
        </w:rPr>
        <w:t>  【投诉渠道】投诉人可通过现场投诉办理登记：</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投诉人至</w:t>
      </w:r>
      <w:r>
        <w:rPr>
          <w:rFonts w:hint="eastAsia" w:ascii="Arial" w:hAnsi="Arial" w:eastAsia="宋体" w:cs="Arial"/>
          <w:sz w:val="24"/>
          <w:szCs w:val="24"/>
        </w:rPr>
        <w:t>中心</w:t>
      </w:r>
      <w:r>
        <w:rPr>
          <w:rFonts w:ascii="Arial" w:hAnsi="Arial" w:eastAsia="宋体" w:cs="Arial"/>
          <w:sz w:val="24"/>
          <w:szCs w:val="24"/>
        </w:rPr>
        <w:t>现场投诉，需按“本规范 第十一条”要求提供投诉材料原件及相应复印件1份。执法人员应根据投诉人提供的资料及陈述事实与请求，协助填写《</w:t>
      </w:r>
      <w:r>
        <w:rPr>
          <w:rFonts w:hint="eastAsia" w:ascii="Arial" w:hAnsi="Arial" w:eastAsia="宋体" w:cs="Arial"/>
          <w:sz w:val="24"/>
          <w:szCs w:val="24"/>
        </w:rPr>
        <w:t>鄂州市</w:t>
      </w:r>
      <w:r>
        <w:rPr>
          <w:rFonts w:ascii="Arial" w:hAnsi="Arial" w:eastAsia="宋体" w:cs="Arial"/>
          <w:sz w:val="24"/>
          <w:szCs w:val="24"/>
        </w:rPr>
        <w:t>住房公积金中心投诉登记表》。</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第十一条</w:t>
      </w:r>
      <w:r>
        <w:rPr>
          <w:rFonts w:ascii="Arial" w:hAnsi="Arial" w:eastAsia="宋体" w:cs="Arial"/>
          <w:sz w:val="24"/>
          <w:szCs w:val="24"/>
        </w:rPr>
        <w:t>  【投诉材料】</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投诉人应根据投诉事实提交以下材料：身份证明材料、劳动关系材料、工资收入材料等。</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委托他人办理投诉的，还应提交受托人身份证明及《授权委托书》。</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第十二条</w:t>
      </w:r>
      <w:r>
        <w:rPr>
          <w:rFonts w:ascii="Arial" w:hAnsi="Arial" w:eastAsia="宋体" w:cs="Arial"/>
          <w:sz w:val="24"/>
          <w:szCs w:val="24"/>
        </w:rPr>
        <w:t>  【投诉材料审核】</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投诉人现场投诉，执法人员应按要求对投诉人提交投诉材料的齐备性、关联性等进行审核。</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第十三条</w:t>
      </w:r>
      <w:r>
        <w:rPr>
          <w:rFonts w:ascii="Arial" w:hAnsi="Arial" w:eastAsia="宋体" w:cs="Arial"/>
          <w:sz w:val="24"/>
          <w:szCs w:val="24"/>
        </w:rPr>
        <w:t>  【管辖审核】</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执法人员在对投诉材料审核的同时，还应对投诉人投诉事项是否属于管理中心职权范围进行审核。</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第十四条</w:t>
      </w:r>
      <w:r>
        <w:rPr>
          <w:rFonts w:ascii="Arial" w:hAnsi="Arial" w:eastAsia="宋体" w:cs="Arial"/>
          <w:sz w:val="24"/>
          <w:szCs w:val="24"/>
        </w:rPr>
        <w:t>  【审核结果处理】</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1.不予受理</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对于不属于中心职权范围的，不予受理。</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对于身份证明材料、劳动关系材料及工资收入材料非投诉人本人材料且无相关授权委托手续的，不予受理。</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2.确认受理</w:t>
      </w:r>
    </w:p>
    <w:p>
      <w:pPr>
        <w:shd w:val="clear" w:color="auto" w:fill="FFFFFF"/>
        <w:adjustRightInd/>
        <w:snapToGrid/>
        <w:spacing w:after="0" w:line="480" w:lineRule="atLeast"/>
        <w:ind w:firstLine="480"/>
        <w:rPr>
          <w:rFonts w:ascii="Arial" w:hAnsi="Arial" w:eastAsia="宋体" w:cs="Arial"/>
          <w:sz w:val="24"/>
          <w:szCs w:val="24"/>
        </w:rPr>
      </w:pPr>
      <w:r>
        <w:rPr>
          <w:rFonts w:ascii="Arial" w:hAnsi="Arial" w:eastAsia="宋体" w:cs="Arial"/>
          <w:sz w:val="24"/>
          <w:szCs w:val="24"/>
        </w:rPr>
        <w:t>对于身份证明材料、劳动关系材料及工资收入材料均为投诉人本人材料或具有授权委托手续，且属于中心职权范围的，依法受理。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70" w:lineRule="atLeast"/>
        <w:ind w:left="0" w:right="0" w:firstLine="480" w:firstLineChars="200"/>
        <w:rPr>
          <w:rFonts w:hint="default" w:ascii="Arial" w:hAnsi="Arial" w:eastAsia="宋体" w:cs="Arial"/>
          <w:sz w:val="24"/>
          <w:szCs w:val="24"/>
          <w:lang w:val="en-US" w:eastAsia="zh-CN"/>
        </w:rPr>
      </w:pPr>
      <w:r>
        <w:rPr>
          <w:rFonts w:hint="eastAsia" w:ascii="Arial" w:hAnsi="Arial" w:eastAsia="宋体" w:cs="Arial"/>
          <w:sz w:val="24"/>
          <w:szCs w:val="24"/>
          <w:highlight w:val="none"/>
          <w:lang w:val="en-US" w:eastAsia="zh-CN"/>
        </w:rPr>
        <w:t>投诉人提交的证明材料不齐备</w:t>
      </w:r>
      <w:r>
        <w:rPr>
          <w:rFonts w:hint="eastAsia" w:ascii="Arial" w:hAnsi="Arial" w:eastAsia="宋体" w:cs="Arial"/>
          <w:kern w:val="0"/>
          <w:sz w:val="24"/>
          <w:szCs w:val="24"/>
          <w:highlight w:val="none"/>
          <w:lang w:val="en-US" w:eastAsia="zh-CN" w:bidi="ar-SA"/>
        </w:rPr>
        <w:t>的，中心应一次性告知，投诉人应于十五天内补充相关材料。</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第十五条</w:t>
      </w:r>
      <w:r>
        <w:rPr>
          <w:rFonts w:ascii="Arial" w:hAnsi="Arial" w:eastAsia="宋体" w:cs="Arial"/>
          <w:sz w:val="24"/>
          <w:szCs w:val="24"/>
        </w:rPr>
        <w:t>  【受理结果告知】执法人员应及时将受理结果、后续程序告知当事人。</w:t>
      </w:r>
    </w:p>
    <w:p>
      <w:pPr>
        <w:shd w:val="clear" w:color="auto" w:fill="FFFFFF"/>
        <w:adjustRightInd/>
        <w:snapToGrid/>
        <w:spacing w:after="0" w:line="480" w:lineRule="atLeast"/>
        <w:rPr>
          <w:rFonts w:hint="eastAsia" w:ascii="Arial" w:hAnsi="Arial" w:eastAsia="宋体" w:cs="Arial"/>
          <w:sz w:val="24"/>
          <w:szCs w:val="24"/>
          <w:lang w:val="en-US" w:eastAsia="zh-CN"/>
        </w:rPr>
      </w:pPr>
      <w:r>
        <w:rPr>
          <w:rFonts w:ascii="Arial" w:hAnsi="Arial" w:eastAsia="宋体" w:cs="Arial"/>
          <w:sz w:val="24"/>
          <w:szCs w:val="24"/>
        </w:rPr>
        <w:t>　　若被诉单位委托代理人代为办理住房公积金投诉案件后续程序的，应提交加盖公章的单位证照复印件、法定代表人身份证复印件、受托人身份证复印件及《授权委托书》。</w:t>
      </w:r>
      <w:r>
        <w:rPr>
          <w:rFonts w:hint="eastAsia" w:ascii="Arial" w:hAnsi="Arial" w:eastAsia="宋体" w:cs="Arial"/>
          <w:sz w:val="24"/>
          <w:szCs w:val="24"/>
          <w:lang w:val="en-US" w:eastAsia="zh-CN"/>
        </w:rPr>
        <w:t xml:space="preserve"> </w:t>
      </w:r>
    </w:p>
    <w:p>
      <w:pPr>
        <w:shd w:val="clear" w:color="auto" w:fill="FFFFFF"/>
        <w:adjustRightInd/>
        <w:snapToGrid/>
        <w:spacing w:after="0" w:line="480" w:lineRule="atLeast"/>
        <w:jc w:val="center"/>
        <w:rPr>
          <w:rFonts w:ascii="Arial" w:hAnsi="Arial" w:eastAsia="宋体" w:cs="Arial"/>
          <w:sz w:val="24"/>
          <w:szCs w:val="24"/>
        </w:rPr>
      </w:pPr>
      <w:r>
        <w:rPr>
          <w:rFonts w:ascii="Arial" w:hAnsi="Arial" w:eastAsia="宋体" w:cs="Arial"/>
          <w:b/>
          <w:bCs/>
          <w:sz w:val="24"/>
          <w:szCs w:val="24"/>
        </w:rPr>
        <w:t>第三章  约谈</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第十六条</w:t>
      </w:r>
      <w:r>
        <w:rPr>
          <w:rFonts w:ascii="Arial" w:hAnsi="Arial" w:eastAsia="宋体" w:cs="Arial"/>
          <w:sz w:val="24"/>
          <w:szCs w:val="24"/>
        </w:rPr>
        <w:t>  【约谈】对于行政处罚类案件，执法人员应约谈被诉单位，开展政策宣讲，要求被诉单位应及时改正违法违规行为，并制作</w:t>
      </w:r>
      <w:r>
        <w:rPr>
          <w:rFonts w:hint="eastAsia" w:ascii="Arial" w:hAnsi="Arial" w:eastAsia="宋体" w:cs="Arial"/>
          <w:sz w:val="24"/>
          <w:szCs w:val="24"/>
          <w:lang w:val="en-US" w:eastAsia="zh-CN"/>
        </w:rPr>
        <w:t>询问</w:t>
      </w:r>
      <w:r>
        <w:rPr>
          <w:rFonts w:ascii="Arial" w:hAnsi="Arial" w:eastAsia="宋体" w:cs="Arial"/>
          <w:sz w:val="24"/>
          <w:szCs w:val="24"/>
        </w:rPr>
        <w:t>笔录。</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第十七条  </w:t>
      </w:r>
      <w:r>
        <w:rPr>
          <w:rFonts w:ascii="Arial" w:hAnsi="Arial" w:eastAsia="宋体" w:cs="Arial"/>
          <w:sz w:val="24"/>
          <w:szCs w:val="24"/>
        </w:rPr>
        <w:t>【</w:t>
      </w:r>
      <w:r>
        <w:rPr>
          <w:rFonts w:hint="eastAsia" w:ascii="Arial" w:hAnsi="Arial" w:eastAsia="宋体" w:cs="Arial"/>
          <w:sz w:val="24"/>
          <w:szCs w:val="24"/>
          <w:lang w:val="en-US" w:eastAsia="zh-CN"/>
        </w:rPr>
        <w:t>单位拒绝约谈</w:t>
      </w:r>
      <w:r>
        <w:rPr>
          <w:rFonts w:ascii="Arial" w:hAnsi="Arial" w:eastAsia="宋体" w:cs="Arial"/>
          <w:sz w:val="24"/>
          <w:szCs w:val="24"/>
        </w:rPr>
        <w:t>】</w:t>
      </w:r>
    </w:p>
    <w:p>
      <w:pPr>
        <w:shd w:val="clear" w:color="auto" w:fill="FFFFFF"/>
        <w:adjustRightInd/>
        <w:snapToGrid/>
        <w:spacing w:after="0" w:line="480" w:lineRule="atLeast"/>
        <w:rPr>
          <w:rFonts w:hint="default" w:ascii="Arial" w:hAnsi="Arial" w:eastAsia="宋体" w:cs="Arial"/>
          <w:sz w:val="24"/>
          <w:szCs w:val="24"/>
          <w:lang w:val="en-US" w:eastAsia="zh-CN"/>
        </w:rPr>
      </w:pPr>
      <w:r>
        <w:rPr>
          <w:rFonts w:ascii="Arial" w:hAnsi="Arial" w:eastAsia="宋体" w:cs="Arial"/>
          <w:sz w:val="24"/>
          <w:szCs w:val="24"/>
        </w:rPr>
        <w:t>　　</w:t>
      </w:r>
      <w:r>
        <w:rPr>
          <w:rFonts w:hint="eastAsia" w:ascii="Arial" w:hAnsi="Arial" w:eastAsia="宋体" w:cs="Arial"/>
          <w:sz w:val="24"/>
          <w:szCs w:val="24"/>
          <w:lang w:val="en-US" w:eastAsia="zh-CN"/>
        </w:rPr>
        <w:t>被投诉单位拒绝约谈的不影响中心依据《条例》及相关规定继续办理案件。</w:t>
      </w:r>
    </w:p>
    <w:p>
      <w:pPr>
        <w:shd w:val="clear" w:color="auto" w:fill="FFFFFF"/>
        <w:adjustRightInd/>
        <w:snapToGrid/>
        <w:spacing w:after="0" w:line="480" w:lineRule="atLeast"/>
        <w:jc w:val="center"/>
        <w:rPr>
          <w:rFonts w:ascii="Arial" w:hAnsi="Arial" w:eastAsia="宋体" w:cs="Arial"/>
          <w:b/>
          <w:bCs/>
          <w:sz w:val="24"/>
          <w:szCs w:val="24"/>
        </w:rPr>
      </w:pPr>
      <w:r>
        <w:rPr>
          <w:rFonts w:ascii="Arial" w:hAnsi="Arial" w:eastAsia="宋体" w:cs="Arial"/>
          <w:b/>
          <w:bCs/>
          <w:sz w:val="24"/>
          <w:szCs w:val="24"/>
        </w:rPr>
        <w:t>第四章  调解</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第十八条</w:t>
      </w:r>
      <w:r>
        <w:rPr>
          <w:rFonts w:ascii="Arial" w:hAnsi="Arial" w:eastAsia="宋体" w:cs="Arial"/>
          <w:sz w:val="24"/>
          <w:szCs w:val="24"/>
        </w:rPr>
        <w:t>  【引导当事人进行调解】对于追缴类案件，执法人员应按照“每案必调”原则，积极引导当事人进行调解。</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第十九条</w:t>
      </w:r>
      <w:r>
        <w:rPr>
          <w:rFonts w:ascii="Arial" w:hAnsi="Arial" w:eastAsia="宋体" w:cs="Arial"/>
          <w:sz w:val="24"/>
          <w:szCs w:val="24"/>
        </w:rPr>
        <w:t>  【</w:t>
      </w:r>
      <w:r>
        <w:rPr>
          <w:rFonts w:hint="eastAsia" w:ascii="Arial" w:hAnsi="Arial" w:eastAsia="宋体" w:cs="Arial"/>
          <w:sz w:val="24"/>
          <w:szCs w:val="24"/>
          <w:lang w:val="en-US" w:eastAsia="zh-CN"/>
        </w:rPr>
        <w:t>调节方式</w:t>
      </w:r>
      <w:r>
        <w:rPr>
          <w:rFonts w:ascii="Arial" w:hAnsi="Arial" w:eastAsia="宋体" w:cs="Arial"/>
          <w:sz w:val="24"/>
          <w:szCs w:val="24"/>
        </w:rPr>
        <w:t>】</w:t>
      </w:r>
      <w:r>
        <w:rPr>
          <w:rFonts w:hint="eastAsia" w:ascii="Arial" w:hAnsi="Arial" w:eastAsia="宋体" w:cs="Arial"/>
          <w:sz w:val="24"/>
          <w:szCs w:val="24"/>
          <w:lang w:val="en-US" w:eastAsia="zh-CN"/>
        </w:rPr>
        <w:t>引导当事人</w:t>
      </w:r>
      <w:r>
        <w:rPr>
          <w:rFonts w:ascii="Arial" w:hAnsi="Arial" w:eastAsia="宋体" w:cs="Arial"/>
          <w:sz w:val="24"/>
          <w:szCs w:val="24"/>
        </w:rPr>
        <w:t>“面对面”调解，也可通过“背对背”方式调解。</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第二十条</w:t>
      </w:r>
      <w:r>
        <w:rPr>
          <w:rFonts w:ascii="Arial" w:hAnsi="Arial" w:eastAsia="宋体" w:cs="Arial"/>
          <w:sz w:val="24"/>
          <w:szCs w:val="24"/>
        </w:rPr>
        <w:t>  【时限要求】执法部门调解周期一般不超过30日，遇特殊情况，经当事人同意后可适当延长。</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第二十一条</w:t>
      </w:r>
      <w:r>
        <w:rPr>
          <w:rFonts w:ascii="Arial" w:hAnsi="Arial" w:eastAsia="宋体" w:cs="Arial"/>
          <w:sz w:val="24"/>
          <w:szCs w:val="24"/>
        </w:rPr>
        <w:t>  【开展调解】调解过程中，执法人员</w:t>
      </w:r>
      <w:r>
        <w:rPr>
          <w:rFonts w:hint="eastAsia" w:ascii="Arial" w:hAnsi="Arial" w:eastAsia="宋体" w:cs="Arial"/>
          <w:sz w:val="24"/>
          <w:szCs w:val="24"/>
          <w:lang w:val="en-US" w:eastAsia="zh-CN"/>
        </w:rPr>
        <w:t>向</w:t>
      </w:r>
      <w:r>
        <w:rPr>
          <w:rFonts w:ascii="Arial" w:hAnsi="Arial" w:eastAsia="宋体" w:cs="Arial"/>
          <w:sz w:val="24"/>
          <w:szCs w:val="24"/>
        </w:rPr>
        <w:t>当事人讲解住房公积金有关法律法规和政策规定，引导双方举证质证，鼓励充分交换意见，依法依规提出纠纷解决建议，帮助当事人自愿达成调解协议。</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第二十二条</w:t>
      </w:r>
      <w:r>
        <w:rPr>
          <w:rFonts w:ascii="Arial" w:hAnsi="Arial" w:eastAsia="宋体" w:cs="Arial"/>
          <w:sz w:val="24"/>
          <w:szCs w:val="24"/>
        </w:rPr>
        <w:t>  【调解结果】</w:t>
      </w:r>
    </w:p>
    <w:p>
      <w:pPr>
        <w:numPr>
          <w:ilvl w:val="0"/>
          <w:numId w:val="1"/>
        </w:numPr>
        <w:shd w:val="clear" w:color="auto" w:fill="FFFFFF"/>
        <w:adjustRightInd/>
        <w:snapToGrid/>
        <w:spacing w:after="0" w:line="480" w:lineRule="atLeast"/>
        <w:ind w:left="480" w:leftChars="0" w:firstLine="0" w:firstLineChars="0"/>
        <w:rPr>
          <w:rFonts w:ascii="Arial" w:hAnsi="Arial" w:eastAsia="宋体" w:cs="Arial"/>
          <w:sz w:val="24"/>
          <w:szCs w:val="24"/>
        </w:rPr>
      </w:pPr>
      <w:r>
        <w:rPr>
          <w:rFonts w:ascii="Arial" w:hAnsi="Arial" w:eastAsia="宋体" w:cs="Arial"/>
          <w:sz w:val="24"/>
          <w:szCs w:val="24"/>
        </w:rPr>
        <w:t>调解成功的，</w:t>
      </w:r>
      <w:r>
        <w:rPr>
          <w:rFonts w:hint="eastAsia" w:ascii="Arial" w:hAnsi="Arial" w:eastAsia="宋体" w:cs="Arial"/>
          <w:sz w:val="24"/>
          <w:szCs w:val="24"/>
          <w:lang w:val="en-US" w:eastAsia="zh-CN"/>
        </w:rPr>
        <w:t>投诉人提交</w:t>
      </w:r>
      <w:r>
        <w:rPr>
          <w:rFonts w:ascii="Arial" w:hAnsi="Arial" w:eastAsia="宋体" w:cs="Arial"/>
          <w:sz w:val="24"/>
          <w:szCs w:val="24"/>
        </w:rPr>
        <w:t>《</w:t>
      </w:r>
      <w:r>
        <w:rPr>
          <w:rFonts w:hint="eastAsia" w:ascii="Arial" w:hAnsi="Arial" w:eastAsia="宋体" w:cs="Arial"/>
          <w:sz w:val="24"/>
          <w:szCs w:val="24"/>
          <w:lang w:val="en-US" w:eastAsia="zh-CN"/>
        </w:rPr>
        <w:t>撤销投诉申请书</w:t>
      </w:r>
      <w:r>
        <w:rPr>
          <w:rFonts w:ascii="Arial" w:hAnsi="Arial" w:eastAsia="宋体" w:cs="Arial"/>
          <w:sz w:val="24"/>
          <w:szCs w:val="24"/>
        </w:rPr>
        <w:t>》，执法人员可依据《</w:t>
      </w:r>
      <w:r>
        <w:rPr>
          <w:rFonts w:hint="eastAsia" w:ascii="Arial" w:hAnsi="Arial" w:eastAsia="宋体" w:cs="Arial"/>
          <w:sz w:val="24"/>
          <w:szCs w:val="24"/>
          <w:lang w:val="en-US" w:eastAsia="zh-CN"/>
        </w:rPr>
        <w:t>撤销投诉申请书</w:t>
      </w:r>
      <w:r>
        <w:rPr>
          <w:rFonts w:ascii="Arial" w:hAnsi="Arial" w:eastAsia="宋体" w:cs="Arial"/>
          <w:sz w:val="24"/>
          <w:szCs w:val="24"/>
        </w:rPr>
        <w:t>》作办结处理。</w:t>
      </w:r>
    </w:p>
    <w:p>
      <w:pPr>
        <w:numPr>
          <w:ilvl w:val="0"/>
          <w:numId w:val="0"/>
        </w:numPr>
        <w:shd w:val="clear" w:color="auto" w:fill="FFFFFF"/>
        <w:adjustRightInd/>
        <w:snapToGrid/>
        <w:spacing w:after="0" w:line="480" w:lineRule="atLeast"/>
        <w:ind w:left="480" w:leftChars="0"/>
        <w:rPr>
          <w:rFonts w:ascii="Arial" w:hAnsi="Arial" w:eastAsia="宋体" w:cs="Arial"/>
          <w:sz w:val="24"/>
          <w:szCs w:val="24"/>
        </w:rPr>
      </w:pPr>
      <w:r>
        <w:rPr>
          <w:rFonts w:ascii="Arial" w:hAnsi="Arial" w:eastAsia="宋体" w:cs="Arial"/>
          <w:sz w:val="24"/>
          <w:szCs w:val="24"/>
        </w:rPr>
        <w:t>2.调解不成功的，执法</w:t>
      </w:r>
      <w:r>
        <w:rPr>
          <w:rFonts w:hint="eastAsia" w:ascii="Arial" w:hAnsi="Arial" w:eastAsia="宋体" w:cs="Arial"/>
          <w:sz w:val="24"/>
          <w:szCs w:val="24"/>
          <w:lang w:val="en-US" w:eastAsia="zh-CN"/>
        </w:rPr>
        <w:t>人员</w:t>
      </w:r>
      <w:r>
        <w:rPr>
          <w:rFonts w:ascii="Arial" w:hAnsi="Arial" w:eastAsia="宋体" w:cs="Arial"/>
          <w:sz w:val="24"/>
          <w:szCs w:val="24"/>
        </w:rPr>
        <w:t>按照本规范相关规定继续办理案件。</w:t>
      </w:r>
    </w:p>
    <w:p>
      <w:pPr>
        <w:shd w:val="clear" w:color="auto" w:fill="FFFFFF"/>
        <w:adjustRightInd/>
        <w:snapToGrid/>
        <w:spacing w:after="0" w:line="480" w:lineRule="atLeast"/>
        <w:jc w:val="center"/>
        <w:rPr>
          <w:rFonts w:ascii="Arial" w:hAnsi="Arial" w:eastAsia="宋体" w:cs="Arial"/>
          <w:sz w:val="24"/>
          <w:szCs w:val="24"/>
          <w:highlight w:val="none"/>
        </w:rPr>
      </w:pPr>
      <w:r>
        <w:rPr>
          <w:rFonts w:ascii="Arial" w:hAnsi="Arial" w:eastAsia="宋体" w:cs="Arial"/>
          <w:b/>
          <w:bCs/>
          <w:sz w:val="24"/>
          <w:szCs w:val="24"/>
          <w:highlight w:val="none"/>
        </w:rPr>
        <w:t>第五章  执法检查</w:t>
      </w:r>
    </w:p>
    <w:p>
      <w:pPr>
        <w:shd w:val="clear" w:color="auto" w:fill="FFFFFF"/>
        <w:adjustRightInd/>
        <w:snapToGrid/>
        <w:spacing w:after="0" w:line="480" w:lineRule="atLeast"/>
        <w:rPr>
          <w:rFonts w:hint="default" w:ascii="Arial" w:hAnsi="Arial" w:eastAsia="宋体" w:cs="Arial"/>
          <w:sz w:val="24"/>
          <w:szCs w:val="24"/>
          <w:lang w:val="en-US" w:eastAsia="zh-CN"/>
        </w:rPr>
      </w:pPr>
      <w:r>
        <w:rPr>
          <w:rFonts w:ascii="Arial" w:hAnsi="Arial" w:eastAsia="宋体" w:cs="Arial"/>
          <w:sz w:val="24"/>
          <w:szCs w:val="24"/>
        </w:rPr>
        <w:t>　　</w:t>
      </w:r>
      <w:r>
        <w:rPr>
          <w:rFonts w:ascii="Arial" w:hAnsi="Arial" w:eastAsia="宋体" w:cs="Arial"/>
          <w:b/>
          <w:bCs/>
          <w:sz w:val="24"/>
          <w:szCs w:val="24"/>
        </w:rPr>
        <w:t>第二十三条</w:t>
      </w:r>
      <w:r>
        <w:rPr>
          <w:rFonts w:ascii="Arial" w:hAnsi="Arial" w:eastAsia="宋体" w:cs="Arial"/>
          <w:sz w:val="24"/>
          <w:szCs w:val="24"/>
        </w:rPr>
        <w:t>  【检查准备】根据投诉案件办理情况，需要对被诉单位进行执法检查的，执法部门应指定2名以上执法人员负责开展执法检查。执法人员联系被诉单位确认检查时间及地点，并送达《</w:t>
      </w:r>
      <w:r>
        <w:rPr>
          <w:rFonts w:hint="eastAsia" w:ascii="Arial" w:hAnsi="Arial" w:eastAsia="宋体" w:cs="Arial"/>
          <w:sz w:val="24"/>
          <w:szCs w:val="24"/>
          <w:lang w:eastAsia="zh-CN"/>
        </w:rPr>
        <w:t>鄂州市住房公积金中心执法检查通知书</w:t>
      </w:r>
      <w:r>
        <w:rPr>
          <w:rFonts w:ascii="Arial" w:hAnsi="Arial" w:eastAsia="宋体" w:cs="Arial"/>
          <w:sz w:val="24"/>
          <w:szCs w:val="24"/>
        </w:rPr>
        <w:t>》。</w:t>
      </w:r>
      <w:r>
        <w:rPr>
          <w:rFonts w:hint="eastAsia" w:ascii="Arial" w:hAnsi="Arial" w:eastAsia="宋体" w:cs="Arial"/>
          <w:sz w:val="24"/>
          <w:szCs w:val="24"/>
          <w:lang w:val="en-US" w:eastAsia="zh-CN"/>
        </w:rPr>
        <w:t xml:space="preserve">                                    </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第二十</w:t>
      </w:r>
      <w:r>
        <w:rPr>
          <w:rFonts w:hint="eastAsia" w:ascii="Arial" w:hAnsi="Arial" w:eastAsia="宋体" w:cs="Arial"/>
          <w:b/>
          <w:bCs/>
          <w:sz w:val="24"/>
          <w:szCs w:val="24"/>
          <w:lang w:val="en-US" w:eastAsia="zh-CN"/>
        </w:rPr>
        <w:t>四</w:t>
      </w:r>
      <w:r>
        <w:rPr>
          <w:rFonts w:ascii="Arial" w:hAnsi="Arial" w:eastAsia="宋体" w:cs="Arial"/>
          <w:b/>
          <w:bCs/>
          <w:sz w:val="24"/>
          <w:szCs w:val="24"/>
        </w:rPr>
        <w:t>条</w:t>
      </w:r>
      <w:r>
        <w:rPr>
          <w:rFonts w:ascii="Arial" w:hAnsi="Arial" w:eastAsia="宋体" w:cs="Arial"/>
          <w:sz w:val="24"/>
          <w:szCs w:val="24"/>
        </w:rPr>
        <w:t>  【检查结果处理】</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根据检查情况，按照《条例》及相关规定确定单位是否存在违法违规行为，并分别作出如下处理：</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1.合格：未发现违法违规行为的。</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2.经整改后合格：发现违法违规行为，单位立即完成整改的。</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3.不合格，正在进行整改：发现违法违规行为，单位主动要求整改，但无法立即全部整改到位的。</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执法人员应指导被诉单位作出整改方案，并与投诉人沟通，告知投诉人单位整改计划。若当事人同意调解，</w:t>
      </w:r>
      <w:r>
        <w:rPr>
          <w:rFonts w:hint="eastAsia" w:ascii="Arial" w:hAnsi="Arial" w:eastAsia="宋体" w:cs="Arial"/>
          <w:sz w:val="24"/>
          <w:szCs w:val="24"/>
          <w:lang w:val="en-US" w:eastAsia="zh-CN"/>
        </w:rPr>
        <w:t>应积极帮助当事人进行调解</w:t>
      </w:r>
      <w:r>
        <w:rPr>
          <w:rFonts w:ascii="Arial" w:hAnsi="Arial" w:eastAsia="宋体" w:cs="Arial"/>
          <w:sz w:val="24"/>
          <w:szCs w:val="24"/>
        </w:rPr>
        <w:t>；若投诉人不同意，执法人员应按照本规范“第六章 立案”要求进行处理。</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4.不合格：发现违法违规行为，单位不配合整改的；执法检查过程中，被诉单位拒不配合或不如实提供用与缴存住房公积金相关材料，经执法人员要求改正但未当场整改的。</w:t>
      </w:r>
    </w:p>
    <w:p>
      <w:pPr>
        <w:shd w:val="clear" w:color="auto" w:fill="FFFFFF"/>
        <w:adjustRightInd/>
        <w:snapToGrid/>
        <w:spacing w:after="0" w:line="480" w:lineRule="atLeast"/>
        <w:jc w:val="center"/>
        <w:rPr>
          <w:rFonts w:ascii="Arial" w:hAnsi="Arial" w:eastAsia="宋体" w:cs="Arial"/>
          <w:sz w:val="24"/>
          <w:szCs w:val="24"/>
        </w:rPr>
      </w:pPr>
      <w:r>
        <w:rPr>
          <w:rFonts w:ascii="Arial" w:hAnsi="Arial" w:eastAsia="宋体" w:cs="Arial"/>
          <w:b/>
          <w:bCs/>
          <w:sz w:val="24"/>
          <w:szCs w:val="24"/>
        </w:rPr>
        <w:t>第六章  立案</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第二十</w:t>
      </w:r>
      <w:r>
        <w:rPr>
          <w:rFonts w:hint="eastAsia" w:ascii="Arial" w:hAnsi="Arial" w:eastAsia="宋体" w:cs="Arial"/>
          <w:b/>
          <w:bCs/>
          <w:sz w:val="24"/>
          <w:szCs w:val="24"/>
          <w:lang w:val="en-US" w:eastAsia="zh-CN"/>
        </w:rPr>
        <w:t>五</w:t>
      </w:r>
      <w:r>
        <w:rPr>
          <w:rFonts w:ascii="Arial" w:hAnsi="Arial" w:eastAsia="宋体" w:cs="Arial"/>
          <w:b/>
          <w:bCs/>
          <w:sz w:val="24"/>
          <w:szCs w:val="24"/>
        </w:rPr>
        <w:t>条</w:t>
      </w:r>
      <w:r>
        <w:rPr>
          <w:rFonts w:ascii="Arial" w:hAnsi="Arial" w:eastAsia="宋体" w:cs="Arial"/>
          <w:sz w:val="24"/>
          <w:szCs w:val="24"/>
        </w:rPr>
        <w:t>  【立案案由】</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对于符合立案条件的投诉案件，及时作立案处理，立案案由如下：</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1.单位不办理住房公积金缴存登记；</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2.单位不为职工办理住房公积金账户设立手续；</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3.单位不为职工按时、足额缴存住房公积金；</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4.单位不配合执法检查。</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第二十</w:t>
      </w:r>
      <w:r>
        <w:rPr>
          <w:rFonts w:hint="eastAsia" w:ascii="Arial" w:hAnsi="Arial" w:eastAsia="宋体" w:cs="Arial"/>
          <w:b/>
          <w:bCs/>
          <w:sz w:val="24"/>
          <w:szCs w:val="24"/>
          <w:lang w:val="en-US" w:eastAsia="zh-CN"/>
        </w:rPr>
        <w:t>六</w:t>
      </w:r>
      <w:r>
        <w:rPr>
          <w:rFonts w:ascii="Arial" w:hAnsi="Arial" w:eastAsia="宋体" w:cs="Arial"/>
          <w:b/>
          <w:bCs/>
          <w:sz w:val="24"/>
          <w:szCs w:val="24"/>
        </w:rPr>
        <w:t>条</w:t>
      </w:r>
      <w:r>
        <w:rPr>
          <w:rFonts w:ascii="Arial" w:hAnsi="Arial" w:eastAsia="宋体" w:cs="Arial"/>
          <w:sz w:val="24"/>
          <w:szCs w:val="24"/>
        </w:rPr>
        <w:t>  【立案程序】</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对于审批同意立案的，执法人员应制作</w:t>
      </w:r>
      <w:r>
        <w:rPr>
          <w:rFonts w:ascii="Arial" w:hAnsi="Arial" w:eastAsia="宋体" w:cs="Arial"/>
          <w:sz w:val="24"/>
          <w:szCs w:val="24"/>
          <w:highlight w:val="none"/>
        </w:rPr>
        <w:t>《</w:t>
      </w:r>
      <w:r>
        <w:rPr>
          <w:rFonts w:hint="eastAsia" w:ascii="Arial" w:hAnsi="Arial" w:eastAsia="宋体" w:cs="Arial"/>
          <w:sz w:val="24"/>
          <w:szCs w:val="24"/>
          <w:highlight w:val="none"/>
          <w:lang w:eastAsia="zh-CN"/>
        </w:rPr>
        <w:t>鄂州市住房公积金中心</w:t>
      </w:r>
      <w:r>
        <w:rPr>
          <w:rFonts w:hint="eastAsia" w:ascii="Arial" w:hAnsi="Arial" w:eastAsia="宋体" w:cs="Arial"/>
          <w:sz w:val="24"/>
          <w:szCs w:val="24"/>
          <w:highlight w:val="none"/>
          <w:lang w:val="en-US" w:eastAsia="zh-CN"/>
        </w:rPr>
        <w:t>核查</w:t>
      </w:r>
      <w:r>
        <w:rPr>
          <w:rFonts w:ascii="Arial" w:hAnsi="Arial" w:eastAsia="宋体" w:cs="Arial"/>
          <w:sz w:val="24"/>
          <w:szCs w:val="24"/>
          <w:highlight w:val="none"/>
        </w:rPr>
        <w:t>通知书》（</w:t>
      </w:r>
      <w:r>
        <w:rPr>
          <w:rFonts w:ascii="Arial" w:hAnsi="Arial" w:eastAsia="宋体" w:cs="Arial"/>
          <w:sz w:val="24"/>
          <w:szCs w:val="24"/>
        </w:rPr>
        <w:t>以下简称《</w:t>
      </w:r>
      <w:r>
        <w:rPr>
          <w:rFonts w:hint="eastAsia" w:ascii="Arial" w:hAnsi="Arial" w:eastAsia="宋体" w:cs="Arial"/>
          <w:sz w:val="24"/>
          <w:szCs w:val="24"/>
          <w:lang w:val="en-US" w:eastAsia="zh-CN"/>
        </w:rPr>
        <w:t>核查</w:t>
      </w:r>
      <w:r>
        <w:rPr>
          <w:rFonts w:ascii="Arial" w:hAnsi="Arial" w:eastAsia="宋体" w:cs="Arial"/>
          <w:sz w:val="24"/>
          <w:szCs w:val="24"/>
        </w:rPr>
        <w:t>通知书》）并向当事人送达；对于审批同意不予立案的，执法人员应制作《</w:t>
      </w:r>
      <w:r>
        <w:rPr>
          <w:rFonts w:hint="eastAsia" w:ascii="Arial" w:hAnsi="Arial" w:eastAsia="宋体" w:cs="Arial"/>
          <w:sz w:val="24"/>
          <w:szCs w:val="24"/>
          <w:lang w:eastAsia="zh-CN"/>
        </w:rPr>
        <w:t>鄂州市住房公积金中心</w:t>
      </w:r>
      <w:r>
        <w:rPr>
          <w:rFonts w:ascii="Arial" w:hAnsi="Arial" w:eastAsia="宋体" w:cs="Arial"/>
          <w:sz w:val="24"/>
          <w:szCs w:val="24"/>
        </w:rPr>
        <w:t>不予立案通知书》并向当事人送达。</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第二十</w:t>
      </w:r>
      <w:r>
        <w:rPr>
          <w:rFonts w:hint="eastAsia" w:ascii="Arial" w:hAnsi="Arial" w:eastAsia="宋体" w:cs="Arial"/>
          <w:b/>
          <w:bCs/>
          <w:sz w:val="24"/>
          <w:szCs w:val="24"/>
          <w:lang w:val="en-US" w:eastAsia="zh-CN"/>
        </w:rPr>
        <w:t>七</w:t>
      </w:r>
      <w:r>
        <w:rPr>
          <w:rFonts w:ascii="Arial" w:hAnsi="Arial" w:eastAsia="宋体" w:cs="Arial"/>
          <w:b/>
          <w:bCs/>
          <w:sz w:val="24"/>
          <w:szCs w:val="24"/>
        </w:rPr>
        <w:t>条</w:t>
      </w:r>
      <w:r>
        <w:rPr>
          <w:rFonts w:ascii="Arial" w:hAnsi="Arial" w:eastAsia="宋体" w:cs="Arial"/>
          <w:sz w:val="24"/>
          <w:szCs w:val="24"/>
        </w:rPr>
        <w:t>  【办理时限】</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执法部门应自立案之日起90日内作出行政处理、处罚决定。执法人员完成立案后，应合理分配不同环节办理时间，严格在时限范围内完成相关工作。</w:t>
      </w:r>
    </w:p>
    <w:p>
      <w:pPr>
        <w:shd w:val="clear" w:color="auto" w:fill="FFFFFF"/>
        <w:adjustRightInd/>
        <w:snapToGrid/>
        <w:spacing w:after="0" w:line="480" w:lineRule="atLeast"/>
        <w:ind w:firstLine="480"/>
        <w:rPr>
          <w:rFonts w:ascii="Arial" w:hAnsi="Arial" w:eastAsia="宋体" w:cs="Arial"/>
          <w:sz w:val="24"/>
          <w:szCs w:val="24"/>
        </w:rPr>
      </w:pPr>
      <w:r>
        <w:rPr>
          <w:rFonts w:ascii="Arial" w:hAnsi="Arial" w:eastAsia="宋体" w:cs="Arial"/>
          <w:sz w:val="24"/>
          <w:szCs w:val="24"/>
        </w:rPr>
        <w:t>因案情复杂或者其他原因，不能在规定期限内作出行政处理、处罚决定的，执法人员可申请延长办理期限，最长不得超过60日。</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案件处理过程中，案件中止、听证、公告等时间不计入前款规定期限。</w:t>
      </w:r>
    </w:p>
    <w:p>
      <w:pPr>
        <w:shd w:val="clear" w:color="auto" w:fill="FFFFFF"/>
        <w:adjustRightInd/>
        <w:snapToGrid/>
        <w:spacing w:after="0" w:line="480" w:lineRule="atLeast"/>
        <w:jc w:val="center"/>
        <w:rPr>
          <w:rFonts w:ascii="Arial" w:hAnsi="Arial" w:eastAsia="宋体" w:cs="Arial"/>
          <w:sz w:val="24"/>
          <w:szCs w:val="24"/>
        </w:rPr>
      </w:pPr>
      <w:r>
        <w:rPr>
          <w:rFonts w:ascii="Arial" w:hAnsi="Arial" w:eastAsia="宋体" w:cs="Arial"/>
          <w:b/>
          <w:bCs/>
          <w:sz w:val="24"/>
          <w:szCs w:val="24"/>
        </w:rPr>
        <w:t>第七章  调查取证</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立案后，执法人员应按本规范规定开展调查取证工作。当事人应按照《</w:t>
      </w:r>
      <w:r>
        <w:rPr>
          <w:rFonts w:hint="eastAsia" w:ascii="Arial" w:hAnsi="Arial" w:eastAsia="宋体" w:cs="Arial"/>
          <w:sz w:val="24"/>
          <w:szCs w:val="24"/>
          <w:lang w:val="en-US" w:eastAsia="zh-CN"/>
        </w:rPr>
        <w:t>核查</w:t>
      </w:r>
      <w:r>
        <w:rPr>
          <w:rFonts w:ascii="Arial" w:hAnsi="Arial" w:eastAsia="宋体" w:cs="Arial"/>
          <w:sz w:val="24"/>
          <w:szCs w:val="24"/>
        </w:rPr>
        <w:t>通知书》中释明的举证期限、材料要求等，配合调查取证工作，提供证据材料证明所主张的事实。</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w:t>
      </w:r>
      <w:r>
        <w:rPr>
          <w:rFonts w:hint="eastAsia" w:ascii="Arial" w:hAnsi="Arial" w:eastAsia="宋体" w:cs="Arial"/>
          <w:b/>
          <w:bCs/>
          <w:sz w:val="24"/>
          <w:szCs w:val="24"/>
          <w:lang w:val="en-US" w:eastAsia="zh-CN"/>
        </w:rPr>
        <w:t>二十八</w:t>
      </w:r>
      <w:r>
        <w:rPr>
          <w:rFonts w:ascii="Arial" w:hAnsi="Arial" w:eastAsia="宋体" w:cs="Arial"/>
          <w:b/>
          <w:bCs/>
          <w:sz w:val="24"/>
          <w:szCs w:val="24"/>
        </w:rPr>
        <w:t>条</w:t>
      </w:r>
      <w:r>
        <w:rPr>
          <w:rFonts w:ascii="Arial" w:hAnsi="Arial" w:eastAsia="宋体" w:cs="Arial"/>
          <w:sz w:val="24"/>
          <w:szCs w:val="24"/>
        </w:rPr>
        <w:t>  【证据主要形式】</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执法人员可通过要求当事人提供、询问、执法检查、向相关部门调取等方式获取证据，证据主要形式如下：</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1.书证，如法律文书、劳动合同、离职证明、身份证明、社会保险个人缴费信息、</w:t>
      </w:r>
      <w:r>
        <w:rPr>
          <w:rFonts w:hint="eastAsia" w:ascii="Arial" w:hAnsi="Arial" w:eastAsia="宋体" w:cs="Arial"/>
          <w:sz w:val="24"/>
          <w:szCs w:val="24"/>
          <w:lang w:val="en-US" w:eastAsia="zh-CN"/>
        </w:rPr>
        <w:t>工资代发银行流水、</w:t>
      </w:r>
      <w:r>
        <w:rPr>
          <w:rFonts w:ascii="Arial" w:hAnsi="Arial" w:eastAsia="宋体" w:cs="Arial"/>
          <w:sz w:val="24"/>
          <w:szCs w:val="24"/>
        </w:rPr>
        <w:t>个人所得税纳税信息、住房公积金缴存记录等；</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2.当事人陈述，如在投诉登记受理、约谈等过程制作的询问笔录、被诉单位提交的情况说明等；</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3.执法检查记录，如在执法检查过程中制作的询问笔录、工作记录等；</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4.视听资料，如通过执法记录仪记录的资料、业务大厅监控系统采集的录音、录像等；</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5.其他符合法律法规规定形式的证据。</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w:t>
      </w:r>
      <w:r>
        <w:rPr>
          <w:rFonts w:hint="eastAsia" w:ascii="Arial" w:hAnsi="Arial" w:eastAsia="宋体" w:cs="Arial"/>
          <w:b/>
          <w:bCs/>
          <w:sz w:val="24"/>
          <w:szCs w:val="24"/>
          <w:lang w:val="en-US" w:eastAsia="zh-CN"/>
        </w:rPr>
        <w:t>二十九</w:t>
      </w:r>
      <w:r>
        <w:rPr>
          <w:rFonts w:ascii="Arial" w:hAnsi="Arial" w:eastAsia="宋体" w:cs="Arial"/>
          <w:b/>
          <w:bCs/>
          <w:sz w:val="24"/>
          <w:szCs w:val="24"/>
        </w:rPr>
        <w:t>条</w:t>
      </w:r>
      <w:r>
        <w:rPr>
          <w:rFonts w:ascii="Arial" w:hAnsi="Arial" w:eastAsia="宋体" w:cs="Arial"/>
          <w:sz w:val="24"/>
          <w:szCs w:val="24"/>
        </w:rPr>
        <w:t>  【证据审查】</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执法人员应全面客观审查证据，对案件的全部证据，从各证据与案件事实的关联程度、各证据之间的相关性等方面进行综合审查判断。</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1.证据是否为原件，复制件与原件是否相符；</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2.证据与本案事实是否相关；</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3.证据的内容是否真实；</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4.证据的形式、来源是否符合法律规定。</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经审核，执法人员应对与投诉案件不具有关联性，证据内容不真实，证据形式、来源不合法的证据进行排除。</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第三十条</w:t>
      </w:r>
      <w:r>
        <w:rPr>
          <w:rFonts w:ascii="Arial" w:hAnsi="Arial" w:eastAsia="宋体" w:cs="Arial"/>
          <w:sz w:val="24"/>
          <w:szCs w:val="24"/>
        </w:rPr>
        <w:t>  【调查内容】执法人员应按要求调查被诉单位基本信息、被诉单位住房公积金账户建缴情况、投诉人与被诉单位之间的劳动关系、投诉人工资收入情况等。</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第三十</w:t>
      </w:r>
      <w:r>
        <w:rPr>
          <w:rFonts w:hint="eastAsia" w:ascii="Arial" w:hAnsi="Arial" w:eastAsia="宋体" w:cs="Arial"/>
          <w:b/>
          <w:bCs/>
          <w:sz w:val="24"/>
          <w:szCs w:val="24"/>
          <w:lang w:val="en-US" w:eastAsia="zh-CN"/>
        </w:rPr>
        <w:t>一</w:t>
      </w:r>
      <w:r>
        <w:rPr>
          <w:rFonts w:ascii="Arial" w:hAnsi="Arial" w:eastAsia="宋体" w:cs="Arial"/>
          <w:b/>
          <w:bCs/>
          <w:sz w:val="24"/>
          <w:szCs w:val="24"/>
        </w:rPr>
        <w:t>条</w:t>
      </w:r>
      <w:r>
        <w:rPr>
          <w:rFonts w:ascii="Arial" w:hAnsi="Arial" w:eastAsia="宋体" w:cs="Arial"/>
          <w:sz w:val="24"/>
          <w:szCs w:val="24"/>
        </w:rPr>
        <w:t>  【调查</w:t>
      </w:r>
      <w:r>
        <w:rPr>
          <w:rFonts w:hint="eastAsia" w:ascii="Arial" w:hAnsi="Arial" w:eastAsia="宋体" w:cs="Arial"/>
          <w:sz w:val="24"/>
          <w:szCs w:val="24"/>
          <w:lang w:val="en-US" w:eastAsia="zh-CN"/>
        </w:rPr>
        <w:t>处理</w:t>
      </w:r>
      <w:r>
        <w:rPr>
          <w:rFonts w:ascii="Arial" w:hAnsi="Arial" w:eastAsia="宋体" w:cs="Arial"/>
          <w:sz w:val="24"/>
          <w:szCs w:val="24"/>
        </w:rPr>
        <w:t>】</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对于被诉单位存在违法违规行为的，中心将依法责令限期改正。</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对于被诉单位不存在违法违规行为的，案件作办结处理。</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第三十</w:t>
      </w:r>
      <w:r>
        <w:rPr>
          <w:rFonts w:hint="eastAsia" w:ascii="Arial" w:hAnsi="Arial" w:eastAsia="宋体" w:cs="Arial"/>
          <w:b/>
          <w:bCs/>
          <w:sz w:val="24"/>
          <w:szCs w:val="24"/>
          <w:lang w:val="en-US" w:eastAsia="zh-CN"/>
        </w:rPr>
        <w:t>二</w:t>
      </w:r>
      <w:r>
        <w:rPr>
          <w:rFonts w:ascii="Arial" w:hAnsi="Arial" w:eastAsia="宋体" w:cs="Arial"/>
          <w:b/>
          <w:bCs/>
          <w:sz w:val="24"/>
          <w:szCs w:val="24"/>
        </w:rPr>
        <w:t>条</w:t>
      </w:r>
      <w:r>
        <w:rPr>
          <w:rFonts w:ascii="Arial" w:hAnsi="Arial" w:eastAsia="宋体" w:cs="Arial"/>
          <w:sz w:val="24"/>
          <w:szCs w:val="24"/>
        </w:rPr>
        <w:t>  【调查中止】</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1.在案件调查过程中，有下列情形之一的，案件调查中止：</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（1）行政处理、处罚决定须以相关案件的裁判结果或者其他行政决定为依据，而相关案件尚未审结或者其他行政决定尚未作出的；</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（2）涉及法律适用等问题，需要报请有权机关作出解释或者确认的；</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（3）因不可抗力致使案件暂时无法调查的；</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（4）因当事人下落不明致使案件暂时无法调查的；</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（5）其他应中止调查的情形。</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2.在案件调查过程中，符合上述中止情形时，当事人任意一方均可向执法部门申请中止调查，并提交书面申请，也可由执法人员主动申请中止调查。中止调查情形消失，应及时恢复调查程序。</w:t>
      </w:r>
    </w:p>
    <w:p>
      <w:pPr>
        <w:shd w:val="clear" w:color="auto" w:fill="FFFFFF"/>
        <w:adjustRightInd/>
        <w:snapToGrid/>
        <w:spacing w:after="0" w:line="480" w:lineRule="atLeast"/>
        <w:jc w:val="center"/>
        <w:rPr>
          <w:rFonts w:ascii="Arial" w:hAnsi="Arial" w:eastAsia="宋体" w:cs="Arial"/>
          <w:sz w:val="24"/>
          <w:szCs w:val="24"/>
        </w:rPr>
      </w:pPr>
      <w:r>
        <w:rPr>
          <w:rFonts w:ascii="Arial" w:hAnsi="Arial" w:eastAsia="宋体" w:cs="Arial"/>
          <w:b/>
          <w:bCs/>
          <w:sz w:val="24"/>
          <w:szCs w:val="24"/>
        </w:rPr>
        <w:t>第八章  限期改正</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第三十</w:t>
      </w:r>
      <w:r>
        <w:rPr>
          <w:rFonts w:hint="eastAsia" w:ascii="Arial" w:hAnsi="Arial" w:eastAsia="宋体" w:cs="Arial"/>
          <w:b/>
          <w:bCs/>
          <w:sz w:val="24"/>
          <w:szCs w:val="24"/>
          <w:lang w:val="en-US" w:eastAsia="zh-CN"/>
        </w:rPr>
        <w:t>三</w:t>
      </w:r>
      <w:r>
        <w:rPr>
          <w:rFonts w:ascii="Arial" w:hAnsi="Arial" w:eastAsia="宋体" w:cs="Arial"/>
          <w:b/>
          <w:bCs/>
          <w:sz w:val="24"/>
          <w:szCs w:val="24"/>
        </w:rPr>
        <w:t>条</w:t>
      </w:r>
      <w:r>
        <w:rPr>
          <w:rFonts w:ascii="Arial" w:hAnsi="Arial" w:eastAsia="宋体" w:cs="Arial"/>
          <w:sz w:val="24"/>
          <w:szCs w:val="24"/>
        </w:rPr>
        <w:t>  【要求被诉单位限期改正】</w:t>
      </w:r>
    </w:p>
    <w:p>
      <w:pPr>
        <w:shd w:val="clear" w:color="auto" w:fill="FFFFFF"/>
        <w:adjustRightInd/>
        <w:snapToGrid/>
        <w:spacing w:after="0" w:line="480" w:lineRule="atLeast"/>
        <w:rPr>
          <w:rFonts w:hint="default" w:ascii="Arial" w:hAnsi="Arial" w:eastAsia="宋体" w:cs="Arial"/>
          <w:sz w:val="24"/>
          <w:szCs w:val="24"/>
          <w:lang w:val="en-US" w:eastAsia="zh-CN"/>
        </w:rPr>
      </w:pPr>
      <w:r>
        <w:rPr>
          <w:rFonts w:ascii="Arial" w:hAnsi="Arial" w:eastAsia="宋体" w:cs="Arial"/>
          <w:sz w:val="24"/>
          <w:szCs w:val="24"/>
        </w:rPr>
        <w:t>　　调查取证工作结束后，对于被诉单位存在违法违规行为的，执法人员应制作《</w:t>
      </w:r>
      <w:r>
        <w:rPr>
          <w:rFonts w:hint="eastAsia" w:ascii="Arial" w:hAnsi="Arial" w:eastAsia="宋体" w:cs="Arial"/>
          <w:sz w:val="24"/>
          <w:szCs w:val="24"/>
          <w:lang w:eastAsia="zh-CN"/>
        </w:rPr>
        <w:t>鄂州市住房公积金中心</w:t>
      </w:r>
      <w:r>
        <w:rPr>
          <w:rFonts w:ascii="Arial" w:hAnsi="Arial" w:eastAsia="宋体" w:cs="Arial"/>
          <w:sz w:val="24"/>
          <w:szCs w:val="24"/>
        </w:rPr>
        <w:t>责令限期</w:t>
      </w:r>
      <w:r>
        <w:rPr>
          <w:rFonts w:hint="eastAsia" w:ascii="Arial" w:hAnsi="Arial" w:eastAsia="宋体" w:cs="Arial"/>
          <w:sz w:val="24"/>
          <w:szCs w:val="24"/>
          <w:lang w:val="en-US" w:eastAsia="zh-CN"/>
        </w:rPr>
        <w:t>整改</w:t>
      </w:r>
      <w:r>
        <w:rPr>
          <w:rFonts w:ascii="Arial" w:hAnsi="Arial" w:eastAsia="宋体" w:cs="Arial"/>
          <w:sz w:val="24"/>
          <w:szCs w:val="24"/>
        </w:rPr>
        <w:t>通知书》，并附《</w:t>
      </w:r>
      <w:r>
        <w:rPr>
          <w:rFonts w:hint="eastAsia" w:ascii="Arial" w:hAnsi="Arial" w:eastAsia="宋体" w:cs="Arial"/>
          <w:sz w:val="24"/>
          <w:szCs w:val="24"/>
          <w:lang w:eastAsia="zh-CN"/>
        </w:rPr>
        <w:t>鄂州市住房公积金中心</w:t>
      </w:r>
      <w:r>
        <w:rPr>
          <w:rFonts w:ascii="Arial" w:hAnsi="Arial" w:eastAsia="宋体" w:cs="Arial"/>
          <w:sz w:val="24"/>
          <w:szCs w:val="24"/>
        </w:rPr>
        <w:t>执法补缴明细表》，向当事人送达。</w:t>
      </w:r>
      <w:r>
        <w:rPr>
          <w:rFonts w:hint="eastAsia" w:ascii="Arial" w:hAnsi="Arial" w:eastAsia="宋体" w:cs="Arial"/>
          <w:sz w:val="24"/>
          <w:szCs w:val="24"/>
          <w:lang w:val="en-US" w:eastAsia="zh-CN"/>
        </w:rPr>
        <w:t xml:space="preserve">                                                                                                                                                                                                                                                                                                                                                                                                                                                                                                                                                                                                                                                                                                                                                                                                                                                                                                                                                                                                                                                                                                                                                                                                                                                                                                                                                                                                                                                                                                                                                                                                                                                                                                                                                                                                                                                                                                                                                                                                                                                                                                                                                                                                                                                                                                                                                                                                                                                                                                                                                                                                                                                                                                                                                                                                                                                                                                                                                                                                                                                                                                                                                                                                                                                                                                                                                                                                                                                                                                                                                                                                                                                                                                                                                                                                                                                                                                                                                                                                                                                                                                                                                                                                                </w:t>
      </w:r>
      <w:r>
        <w:rPr>
          <w:rFonts w:hint="eastAsia" w:ascii="Arial" w:hAnsi="Arial" w:eastAsia="宋体" w:cs="Arial"/>
          <w:sz w:val="24"/>
          <w:szCs w:val="24"/>
          <w:lang w:val="en-US" w:eastAsia="zh-CN"/>
        </w:rPr>
        <w:t xml:space="preserve">       </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第三十</w:t>
      </w:r>
      <w:r>
        <w:rPr>
          <w:rFonts w:hint="eastAsia" w:ascii="Arial" w:hAnsi="Arial" w:eastAsia="宋体" w:cs="Arial"/>
          <w:b/>
          <w:bCs/>
          <w:sz w:val="24"/>
          <w:szCs w:val="24"/>
          <w:lang w:val="en-US" w:eastAsia="zh-CN"/>
        </w:rPr>
        <w:t>四</w:t>
      </w:r>
      <w:r>
        <w:rPr>
          <w:rFonts w:ascii="Arial" w:hAnsi="Arial" w:eastAsia="宋体" w:cs="Arial"/>
          <w:b/>
          <w:bCs/>
          <w:sz w:val="24"/>
          <w:szCs w:val="24"/>
        </w:rPr>
        <w:t>条</w:t>
      </w:r>
      <w:r>
        <w:rPr>
          <w:rFonts w:ascii="Arial" w:hAnsi="Arial" w:eastAsia="宋体" w:cs="Arial"/>
          <w:sz w:val="24"/>
          <w:szCs w:val="24"/>
        </w:rPr>
        <w:t>  【改正情况处理】</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1.对于被诉单位在限定期限内改正全部违法违规行为的，案件作办结处理。</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2.对于被诉单位在限定期限内改正部分违法违规行为或未改正违法违规行为的，根据实际情况作出相应处理，并告知当事人拟作出处理决定的内容、理由、依据及当事人享有的陈述、申辩等权利。</w:t>
      </w:r>
    </w:p>
    <w:p>
      <w:pPr>
        <w:shd w:val="clear" w:color="auto" w:fill="FFFFFF"/>
        <w:adjustRightInd/>
        <w:snapToGrid/>
        <w:spacing w:after="0" w:line="480" w:lineRule="atLeast"/>
        <w:rPr>
          <w:rFonts w:hint="eastAsia" w:ascii="Arial" w:hAnsi="Arial" w:eastAsia="宋体" w:cs="Arial"/>
          <w:sz w:val="24"/>
          <w:szCs w:val="24"/>
          <w:highlight w:val="none"/>
          <w:lang w:val="en-US" w:eastAsia="zh-CN"/>
        </w:rPr>
      </w:pPr>
      <w:r>
        <w:rPr>
          <w:rFonts w:ascii="Arial" w:hAnsi="Arial" w:eastAsia="宋体" w:cs="Arial"/>
          <w:sz w:val="24"/>
          <w:szCs w:val="24"/>
        </w:rPr>
        <w:t>　　（1）对于被诉单位存在不办理单位缴存登记或者不为本单位职工办理住房公积金账户设立手续情形的，执法人员应制</w:t>
      </w:r>
      <w:r>
        <w:rPr>
          <w:rFonts w:ascii="Arial" w:hAnsi="Arial" w:eastAsia="宋体" w:cs="Arial"/>
          <w:sz w:val="24"/>
          <w:szCs w:val="24"/>
          <w:highlight w:val="none"/>
        </w:rPr>
        <w:t>作《</w:t>
      </w:r>
      <w:r>
        <w:rPr>
          <w:rFonts w:hint="eastAsia" w:ascii="Arial" w:hAnsi="Arial" w:eastAsia="宋体" w:cs="Arial"/>
          <w:sz w:val="24"/>
          <w:szCs w:val="24"/>
          <w:highlight w:val="none"/>
          <w:lang w:eastAsia="zh-CN"/>
        </w:rPr>
        <w:t>鄂州市住房公积金中心</w:t>
      </w:r>
      <w:r>
        <w:rPr>
          <w:rFonts w:ascii="Arial" w:hAnsi="Arial" w:eastAsia="宋体" w:cs="Arial"/>
          <w:sz w:val="24"/>
          <w:szCs w:val="24"/>
          <w:highlight w:val="none"/>
        </w:rPr>
        <w:t>行政处罚事先告知书》向被诉单位送达。</w:t>
      </w:r>
      <w:r>
        <w:rPr>
          <w:rFonts w:hint="eastAsia" w:ascii="Arial" w:hAnsi="Arial" w:eastAsia="宋体" w:cs="Arial"/>
          <w:sz w:val="24"/>
          <w:szCs w:val="24"/>
          <w:highlight w:val="none"/>
          <w:lang w:val="en-US" w:eastAsia="zh-CN"/>
        </w:rPr>
        <w:t xml:space="preserve"> </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（2）对于被诉单位存在逾期不缴或者少缴住房公积金情形的，执法人员应制作《</w:t>
      </w:r>
      <w:r>
        <w:rPr>
          <w:rFonts w:hint="eastAsia" w:ascii="Arial" w:hAnsi="Arial" w:eastAsia="宋体" w:cs="Arial"/>
          <w:sz w:val="24"/>
          <w:szCs w:val="24"/>
          <w:lang w:eastAsia="zh-CN"/>
        </w:rPr>
        <w:t>鄂州市住房公积金中心</w:t>
      </w:r>
      <w:r>
        <w:rPr>
          <w:rFonts w:ascii="Arial" w:hAnsi="Arial" w:eastAsia="宋体" w:cs="Arial"/>
          <w:sz w:val="24"/>
          <w:szCs w:val="24"/>
        </w:rPr>
        <w:t>责令限期缴存事先告知书》向当事人送达。</w:t>
      </w:r>
    </w:p>
    <w:p>
      <w:pPr>
        <w:shd w:val="clear" w:color="auto" w:fill="FFFFFF"/>
        <w:adjustRightInd/>
        <w:snapToGrid/>
        <w:spacing w:after="0" w:line="480" w:lineRule="atLeast"/>
        <w:ind w:firstLine="480"/>
        <w:rPr>
          <w:rFonts w:ascii="Arial" w:hAnsi="Arial" w:eastAsia="宋体" w:cs="Arial"/>
          <w:sz w:val="24"/>
          <w:szCs w:val="24"/>
        </w:rPr>
      </w:pPr>
      <w:r>
        <w:rPr>
          <w:rFonts w:ascii="Arial" w:hAnsi="Arial" w:eastAsia="宋体" w:cs="Arial"/>
          <w:sz w:val="24"/>
          <w:szCs w:val="24"/>
        </w:rPr>
        <w:t>3.对于被诉单位在规定期限届满后方办理单位缴存登记或者为本单位职工办理住房公积金账户设立手续，但同步足额补缴住房公积金的，执法人员可制</w:t>
      </w:r>
      <w:r>
        <w:rPr>
          <w:rFonts w:ascii="Arial" w:hAnsi="Arial" w:eastAsia="宋体" w:cs="Arial"/>
          <w:sz w:val="24"/>
          <w:szCs w:val="24"/>
          <w:highlight w:val="none"/>
        </w:rPr>
        <w:t>作《</w:t>
      </w:r>
      <w:r>
        <w:rPr>
          <w:rFonts w:hint="eastAsia" w:ascii="Arial" w:hAnsi="Arial" w:eastAsia="宋体" w:cs="Arial"/>
          <w:sz w:val="24"/>
          <w:szCs w:val="24"/>
          <w:highlight w:val="none"/>
          <w:lang w:eastAsia="zh-CN"/>
        </w:rPr>
        <w:t>鄂州市住房公积金中心</w:t>
      </w:r>
      <w:r>
        <w:rPr>
          <w:rFonts w:ascii="Arial" w:hAnsi="Arial" w:eastAsia="宋体" w:cs="Arial"/>
          <w:sz w:val="24"/>
          <w:szCs w:val="24"/>
          <w:highlight w:val="none"/>
        </w:rPr>
        <w:t>不予行政处罚事先告知书》（以</w:t>
      </w:r>
      <w:r>
        <w:rPr>
          <w:rFonts w:ascii="Arial" w:hAnsi="Arial" w:eastAsia="宋体" w:cs="Arial"/>
          <w:sz w:val="24"/>
          <w:szCs w:val="24"/>
        </w:rPr>
        <w:t>下简称《不予处罚事先告知书》）向被诉单位送达。</w:t>
      </w:r>
    </w:p>
    <w:p>
      <w:pPr>
        <w:shd w:val="clear" w:color="auto" w:fill="FFFFFF"/>
        <w:adjustRightInd/>
        <w:snapToGrid/>
        <w:spacing w:after="0" w:line="480" w:lineRule="atLeast"/>
        <w:jc w:val="center"/>
        <w:rPr>
          <w:rFonts w:ascii="Arial" w:hAnsi="Arial" w:eastAsia="宋体" w:cs="Arial"/>
          <w:sz w:val="24"/>
          <w:szCs w:val="24"/>
        </w:rPr>
      </w:pPr>
      <w:r>
        <w:rPr>
          <w:rFonts w:ascii="Arial" w:hAnsi="Arial" w:eastAsia="宋体" w:cs="Arial"/>
          <w:b/>
          <w:bCs/>
          <w:sz w:val="24"/>
          <w:szCs w:val="24"/>
        </w:rPr>
        <w:t>第九章  作出行政处理、处罚决定</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第三十</w:t>
      </w:r>
      <w:r>
        <w:rPr>
          <w:rFonts w:hint="eastAsia" w:ascii="Arial" w:hAnsi="Arial" w:eastAsia="宋体" w:cs="Arial"/>
          <w:b/>
          <w:bCs/>
          <w:sz w:val="24"/>
          <w:szCs w:val="24"/>
          <w:lang w:val="en-US" w:eastAsia="zh-CN"/>
        </w:rPr>
        <w:t>五</w:t>
      </w:r>
      <w:r>
        <w:rPr>
          <w:rFonts w:ascii="Arial" w:hAnsi="Arial" w:eastAsia="宋体" w:cs="Arial"/>
          <w:b/>
          <w:bCs/>
          <w:sz w:val="24"/>
          <w:szCs w:val="24"/>
        </w:rPr>
        <w:t>条</w:t>
      </w:r>
      <w:r>
        <w:rPr>
          <w:rFonts w:ascii="Arial" w:hAnsi="Arial" w:eastAsia="宋体" w:cs="Arial"/>
          <w:sz w:val="24"/>
          <w:szCs w:val="24"/>
        </w:rPr>
        <w:t>  【听证】若拟作出行政处罚决定的，</w:t>
      </w:r>
      <w:r>
        <w:rPr>
          <w:rFonts w:hint="eastAsia" w:ascii="Arial" w:hAnsi="Arial" w:eastAsia="宋体" w:cs="Arial"/>
          <w:sz w:val="24"/>
          <w:szCs w:val="24"/>
          <w:lang w:val="en-US" w:eastAsia="zh-CN"/>
        </w:rPr>
        <w:t>应当告知被诉单位有要求听证的权力，被诉公司要求听证的，</w:t>
      </w:r>
      <w:r>
        <w:rPr>
          <w:rFonts w:ascii="Arial" w:hAnsi="Arial" w:eastAsia="宋体" w:cs="Arial"/>
          <w:sz w:val="24"/>
          <w:szCs w:val="24"/>
        </w:rPr>
        <w:t>中心依据《行政处罚法》《湖北省行政处罚听证规则》相关规定组织听证。</w:t>
      </w:r>
      <w:r>
        <w:rPr>
          <w:rFonts w:hint="eastAsia" w:ascii="Arial" w:hAnsi="Arial" w:eastAsia="宋体" w:cs="Arial"/>
          <w:sz w:val="24"/>
          <w:szCs w:val="24"/>
          <w:lang w:val="en-US" w:eastAsia="zh-CN"/>
        </w:rPr>
        <w:t>举行</w:t>
      </w:r>
      <w:r>
        <w:rPr>
          <w:rFonts w:ascii="Arial" w:hAnsi="Arial" w:eastAsia="宋体" w:cs="Arial"/>
          <w:sz w:val="24"/>
          <w:szCs w:val="24"/>
        </w:rPr>
        <w:t>听证</w:t>
      </w:r>
      <w:r>
        <w:rPr>
          <w:rFonts w:hint="eastAsia" w:ascii="Arial" w:hAnsi="Arial" w:eastAsia="宋体" w:cs="Arial"/>
          <w:sz w:val="24"/>
          <w:szCs w:val="24"/>
          <w:lang w:val="en-US" w:eastAsia="zh-CN"/>
        </w:rPr>
        <w:t>应</w:t>
      </w:r>
      <w:r>
        <w:rPr>
          <w:rFonts w:ascii="Arial" w:hAnsi="Arial" w:eastAsia="宋体" w:cs="Arial"/>
          <w:sz w:val="24"/>
          <w:szCs w:val="24"/>
        </w:rPr>
        <w:t>制作《</w:t>
      </w:r>
      <w:r>
        <w:rPr>
          <w:rFonts w:hint="eastAsia" w:ascii="Arial" w:hAnsi="Arial" w:eastAsia="宋体" w:cs="Arial"/>
          <w:sz w:val="24"/>
          <w:szCs w:val="24"/>
          <w:lang w:eastAsia="zh-CN"/>
        </w:rPr>
        <w:t>鄂州市住房公积金中心</w:t>
      </w:r>
      <w:r>
        <w:rPr>
          <w:rFonts w:ascii="Arial" w:hAnsi="Arial" w:eastAsia="宋体" w:cs="Arial"/>
          <w:sz w:val="24"/>
          <w:szCs w:val="24"/>
        </w:rPr>
        <w:t>行政处罚听证</w:t>
      </w:r>
      <w:r>
        <w:rPr>
          <w:rFonts w:hint="eastAsia" w:ascii="Arial" w:hAnsi="Arial" w:eastAsia="宋体" w:cs="Arial"/>
          <w:sz w:val="24"/>
          <w:szCs w:val="24"/>
          <w:lang w:val="en-US" w:eastAsia="zh-CN"/>
        </w:rPr>
        <w:t>笔录</w:t>
      </w:r>
      <w:r>
        <w:rPr>
          <w:rFonts w:ascii="Arial" w:hAnsi="Arial" w:eastAsia="宋体" w:cs="Arial"/>
          <w:sz w:val="24"/>
          <w:szCs w:val="24"/>
        </w:rPr>
        <w:t>》。</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hint="eastAsia" w:ascii="Arial" w:hAnsi="Arial" w:eastAsia="宋体" w:cs="Arial"/>
          <w:sz w:val="24"/>
          <w:szCs w:val="24"/>
          <w:lang w:val="en-US" w:eastAsia="zh-CN"/>
        </w:rPr>
        <w:t>被诉单位</w:t>
      </w:r>
      <w:r>
        <w:rPr>
          <w:rFonts w:ascii="Arial" w:hAnsi="Arial" w:eastAsia="宋体" w:cs="Arial"/>
          <w:sz w:val="24"/>
          <w:szCs w:val="24"/>
        </w:rPr>
        <w:t>有正当理由要求延期的，准许延期一次；</w:t>
      </w:r>
      <w:r>
        <w:rPr>
          <w:rFonts w:hint="eastAsia" w:ascii="Arial" w:hAnsi="Arial" w:eastAsia="宋体" w:cs="Arial"/>
          <w:sz w:val="24"/>
          <w:szCs w:val="24"/>
          <w:lang w:val="en-US" w:eastAsia="zh-CN"/>
        </w:rPr>
        <w:t>被诉单位</w:t>
      </w:r>
      <w:r>
        <w:rPr>
          <w:rFonts w:ascii="Arial" w:hAnsi="Arial" w:eastAsia="宋体" w:cs="Arial"/>
          <w:sz w:val="24"/>
          <w:szCs w:val="24"/>
        </w:rPr>
        <w:t>未按期参加听证且事先未说明理由的，视为放弃听证权利。</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第三十</w:t>
      </w:r>
      <w:r>
        <w:rPr>
          <w:rFonts w:hint="eastAsia" w:ascii="Arial" w:hAnsi="Arial" w:eastAsia="宋体" w:cs="Arial"/>
          <w:b/>
          <w:bCs/>
          <w:sz w:val="24"/>
          <w:szCs w:val="24"/>
          <w:lang w:val="en-US" w:eastAsia="zh-CN"/>
        </w:rPr>
        <w:t>六</w:t>
      </w:r>
      <w:r>
        <w:rPr>
          <w:rFonts w:ascii="Arial" w:hAnsi="Arial" w:eastAsia="宋体" w:cs="Arial"/>
          <w:b/>
          <w:bCs/>
          <w:sz w:val="24"/>
          <w:szCs w:val="24"/>
        </w:rPr>
        <w:t>条</w:t>
      </w:r>
      <w:r>
        <w:rPr>
          <w:rFonts w:ascii="Arial" w:hAnsi="Arial" w:eastAsia="宋体" w:cs="Arial"/>
          <w:sz w:val="24"/>
          <w:szCs w:val="24"/>
        </w:rPr>
        <w:t>  【法制审核】若拟作出的行政处罚决定属于重大行政执法决定情形的，中心应在作出相应决定前</w:t>
      </w:r>
      <w:r>
        <w:rPr>
          <w:rFonts w:hint="eastAsia" w:ascii="Arial" w:hAnsi="Arial" w:eastAsia="宋体" w:cs="Arial"/>
          <w:sz w:val="24"/>
          <w:szCs w:val="24"/>
          <w:lang w:val="en-US" w:eastAsia="zh-CN"/>
        </w:rPr>
        <w:t>召开重大行政处罚案件讨论会，并交中心法律顾问</w:t>
      </w:r>
      <w:r>
        <w:rPr>
          <w:rFonts w:ascii="Arial" w:hAnsi="Arial" w:eastAsia="宋体" w:cs="Arial"/>
          <w:sz w:val="24"/>
          <w:szCs w:val="24"/>
        </w:rPr>
        <w:t>依据相关规定进行法制审核。</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第三十</w:t>
      </w:r>
      <w:r>
        <w:rPr>
          <w:rFonts w:hint="eastAsia" w:ascii="Arial" w:hAnsi="Arial" w:eastAsia="宋体" w:cs="Arial"/>
          <w:b/>
          <w:bCs/>
          <w:sz w:val="24"/>
          <w:szCs w:val="24"/>
          <w:lang w:val="en-US" w:eastAsia="zh-CN"/>
        </w:rPr>
        <w:t>七</w:t>
      </w:r>
      <w:r>
        <w:rPr>
          <w:rFonts w:ascii="Arial" w:hAnsi="Arial" w:eastAsia="宋体" w:cs="Arial"/>
          <w:b/>
          <w:bCs/>
          <w:sz w:val="24"/>
          <w:szCs w:val="24"/>
        </w:rPr>
        <w:t>条</w:t>
      </w:r>
      <w:r>
        <w:rPr>
          <w:rFonts w:ascii="Arial" w:hAnsi="Arial" w:eastAsia="宋体" w:cs="Arial"/>
          <w:sz w:val="24"/>
          <w:szCs w:val="24"/>
        </w:rPr>
        <w:t>  【行政处理、处罚决定】</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经审批同意作出不予行政处罚决定的，执法人员应制作《</w:t>
      </w:r>
      <w:r>
        <w:rPr>
          <w:rFonts w:hint="eastAsia" w:ascii="Arial" w:hAnsi="Arial" w:eastAsia="宋体" w:cs="Arial"/>
          <w:sz w:val="24"/>
          <w:szCs w:val="24"/>
          <w:lang w:eastAsia="zh-CN"/>
        </w:rPr>
        <w:t>鄂州市住房公积金中心</w:t>
      </w:r>
      <w:r>
        <w:rPr>
          <w:rFonts w:ascii="Arial" w:hAnsi="Arial" w:eastAsia="宋体" w:cs="Arial"/>
          <w:sz w:val="24"/>
          <w:szCs w:val="24"/>
        </w:rPr>
        <w:t>不予行政处罚决定书》并向被诉单位送达。</w:t>
      </w:r>
    </w:p>
    <w:p>
      <w:pPr>
        <w:shd w:val="clear" w:color="auto" w:fill="FFFFFF"/>
        <w:adjustRightInd/>
        <w:snapToGrid/>
        <w:spacing w:after="0" w:line="480" w:lineRule="atLeast"/>
        <w:rPr>
          <w:rFonts w:hint="eastAsia" w:ascii="Arial" w:hAnsi="Arial" w:eastAsia="宋体" w:cs="Arial"/>
          <w:sz w:val="24"/>
          <w:szCs w:val="24"/>
          <w:highlight w:val="none"/>
          <w:lang w:val="en-US" w:eastAsia="zh-CN"/>
        </w:rPr>
      </w:pPr>
      <w:r>
        <w:rPr>
          <w:rFonts w:ascii="Arial" w:hAnsi="Arial" w:eastAsia="宋体" w:cs="Arial"/>
          <w:sz w:val="24"/>
          <w:szCs w:val="24"/>
        </w:rPr>
        <w:t>　　经审批同意作出行政处罚决定的，执法人员应制作《</w:t>
      </w:r>
      <w:r>
        <w:rPr>
          <w:rFonts w:hint="eastAsia" w:ascii="Arial" w:hAnsi="Arial" w:eastAsia="宋体" w:cs="Arial"/>
          <w:sz w:val="24"/>
          <w:szCs w:val="24"/>
          <w:lang w:eastAsia="zh-CN"/>
        </w:rPr>
        <w:t>鄂州市住房公积金中心</w:t>
      </w:r>
      <w:r>
        <w:rPr>
          <w:rFonts w:ascii="Arial" w:hAnsi="Arial" w:eastAsia="宋体" w:cs="Arial"/>
          <w:sz w:val="24"/>
          <w:szCs w:val="24"/>
        </w:rPr>
        <w:t>行政处罚决定书》（以下简称《行政处罚决定书》）</w:t>
      </w:r>
      <w:r>
        <w:rPr>
          <w:rFonts w:ascii="Arial" w:hAnsi="Arial" w:eastAsia="宋体" w:cs="Arial"/>
          <w:sz w:val="24"/>
          <w:szCs w:val="24"/>
          <w:highlight w:val="none"/>
        </w:rPr>
        <w:t>和《</w:t>
      </w:r>
      <w:r>
        <w:rPr>
          <w:rFonts w:hint="eastAsia" w:ascii="Arial" w:hAnsi="Arial" w:eastAsia="宋体" w:cs="Arial"/>
          <w:sz w:val="24"/>
          <w:szCs w:val="24"/>
          <w:highlight w:val="none"/>
          <w:lang w:val="en-US" w:eastAsia="zh-CN"/>
        </w:rPr>
        <w:t>湖北省</w:t>
      </w:r>
      <w:r>
        <w:rPr>
          <w:rFonts w:ascii="Arial" w:hAnsi="Arial" w:eastAsia="宋体" w:cs="Arial"/>
          <w:sz w:val="24"/>
          <w:szCs w:val="24"/>
          <w:highlight w:val="none"/>
        </w:rPr>
        <w:t>非税收入一般缴款书》一并向被诉单位送达。</w:t>
      </w:r>
      <w:r>
        <w:rPr>
          <w:rFonts w:hint="eastAsia" w:ascii="Arial" w:hAnsi="Arial" w:eastAsia="宋体" w:cs="Arial"/>
          <w:sz w:val="24"/>
          <w:szCs w:val="24"/>
          <w:highlight w:val="none"/>
          <w:lang w:val="en-US" w:eastAsia="zh-CN"/>
        </w:rPr>
        <w:t xml:space="preserve"> </w:t>
      </w:r>
    </w:p>
    <w:p>
      <w:pPr>
        <w:shd w:val="clear" w:color="auto" w:fill="FFFFFF"/>
        <w:adjustRightInd/>
        <w:snapToGrid/>
        <w:spacing w:after="0" w:line="480" w:lineRule="atLeast"/>
        <w:rPr>
          <w:rFonts w:hint="eastAsia" w:ascii="Arial" w:hAnsi="Arial" w:eastAsia="宋体" w:cs="Arial"/>
          <w:sz w:val="24"/>
          <w:szCs w:val="24"/>
          <w:lang w:val="en-US" w:eastAsia="zh-CN"/>
        </w:rPr>
      </w:pPr>
      <w:r>
        <w:rPr>
          <w:rFonts w:ascii="Arial" w:hAnsi="Arial" w:eastAsia="宋体" w:cs="Arial"/>
          <w:sz w:val="24"/>
          <w:szCs w:val="24"/>
        </w:rPr>
        <w:t>　　经审批同意作出限期缴存决定的，执法人员应制作《</w:t>
      </w:r>
      <w:r>
        <w:rPr>
          <w:rFonts w:hint="eastAsia" w:ascii="Arial" w:hAnsi="Arial" w:eastAsia="宋体" w:cs="Arial"/>
          <w:sz w:val="24"/>
          <w:szCs w:val="24"/>
          <w:lang w:eastAsia="zh-CN"/>
        </w:rPr>
        <w:t>鄂州市住房公积金中心</w:t>
      </w:r>
      <w:r>
        <w:rPr>
          <w:rFonts w:ascii="Arial" w:hAnsi="Arial" w:eastAsia="宋体" w:cs="Arial"/>
          <w:sz w:val="24"/>
          <w:szCs w:val="24"/>
        </w:rPr>
        <w:t>责令限期缴存通知书》（以下简称《责令限期缴存通知书》）并向当事人送达。</w:t>
      </w:r>
      <w:r>
        <w:rPr>
          <w:rFonts w:hint="eastAsia" w:ascii="Arial" w:hAnsi="Arial" w:eastAsia="宋体" w:cs="Arial"/>
          <w:sz w:val="24"/>
          <w:szCs w:val="24"/>
          <w:lang w:val="en-US" w:eastAsia="zh-CN"/>
        </w:rPr>
        <w:t xml:space="preserve"> </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如当事人对行政处理、处罚决定不服，</w:t>
      </w:r>
      <w:r>
        <w:rPr>
          <w:rFonts w:hint="eastAsia" w:ascii="Arial" w:hAnsi="Arial" w:eastAsia="宋体" w:cs="Arial"/>
          <w:sz w:val="24"/>
          <w:szCs w:val="24"/>
          <w:lang w:val="en-US" w:eastAsia="zh-CN"/>
        </w:rPr>
        <w:t>在收到</w:t>
      </w:r>
      <w:r>
        <w:rPr>
          <w:rFonts w:ascii="Arial" w:hAnsi="Arial" w:eastAsia="宋体" w:cs="Arial"/>
          <w:sz w:val="24"/>
          <w:szCs w:val="24"/>
        </w:rPr>
        <w:t>《</w:t>
      </w:r>
      <w:r>
        <w:rPr>
          <w:rFonts w:hint="eastAsia" w:ascii="Arial" w:hAnsi="Arial" w:eastAsia="宋体" w:cs="Arial"/>
          <w:sz w:val="24"/>
          <w:szCs w:val="24"/>
          <w:lang w:eastAsia="zh-CN"/>
        </w:rPr>
        <w:t>鄂州市住房公积金中心</w:t>
      </w:r>
      <w:r>
        <w:rPr>
          <w:rFonts w:ascii="Arial" w:hAnsi="Arial" w:eastAsia="宋体" w:cs="Arial"/>
          <w:sz w:val="24"/>
          <w:szCs w:val="24"/>
        </w:rPr>
        <w:t>行政处</w:t>
      </w:r>
      <w:r>
        <w:rPr>
          <w:rFonts w:hint="eastAsia" w:ascii="Arial" w:hAnsi="Arial" w:eastAsia="宋体" w:cs="Arial"/>
          <w:sz w:val="24"/>
          <w:szCs w:val="24"/>
          <w:lang w:eastAsia="zh-CN"/>
        </w:rPr>
        <w:t>罚决定书》</w:t>
      </w:r>
      <w:r>
        <w:rPr>
          <w:rFonts w:hint="eastAsia" w:ascii="Arial" w:hAnsi="Arial" w:eastAsia="宋体" w:cs="Arial"/>
          <w:sz w:val="24"/>
          <w:szCs w:val="24"/>
          <w:lang w:val="en-US" w:eastAsia="zh-CN"/>
        </w:rPr>
        <w:t>或</w:t>
      </w:r>
      <w:r>
        <w:rPr>
          <w:rFonts w:hint="eastAsia" w:ascii="Arial" w:hAnsi="Arial" w:eastAsia="宋体" w:cs="Arial"/>
          <w:sz w:val="24"/>
          <w:szCs w:val="24"/>
          <w:lang w:eastAsia="zh-CN"/>
        </w:rPr>
        <w:t>《鄂州市住房公积金中心责令限期缴存通知书》</w:t>
      </w:r>
      <w:r>
        <w:rPr>
          <w:rFonts w:hint="eastAsia" w:ascii="Arial" w:hAnsi="Arial" w:eastAsia="宋体" w:cs="Arial"/>
          <w:sz w:val="24"/>
          <w:szCs w:val="24"/>
          <w:lang w:val="en-US" w:eastAsia="zh-CN"/>
        </w:rPr>
        <w:t>之日起60日内向鄂州市人民政府申请行政复议，也可在6个月内向人民法院提起行政诉讼</w:t>
      </w:r>
      <w:r>
        <w:rPr>
          <w:rFonts w:ascii="Arial" w:hAnsi="Arial" w:eastAsia="宋体" w:cs="Arial"/>
          <w:sz w:val="24"/>
          <w:szCs w:val="24"/>
        </w:rPr>
        <w:t>。</w:t>
      </w:r>
    </w:p>
    <w:p>
      <w:pPr>
        <w:shd w:val="clear" w:color="auto" w:fill="FFFFFF"/>
        <w:adjustRightInd/>
        <w:snapToGrid/>
        <w:spacing w:after="0" w:line="480" w:lineRule="atLeast"/>
        <w:jc w:val="center"/>
        <w:rPr>
          <w:rFonts w:ascii="Arial" w:hAnsi="Arial" w:eastAsia="宋体" w:cs="Arial"/>
          <w:sz w:val="24"/>
          <w:szCs w:val="24"/>
        </w:rPr>
      </w:pPr>
      <w:r>
        <w:rPr>
          <w:rFonts w:ascii="Arial" w:hAnsi="Arial" w:eastAsia="宋体" w:cs="Arial"/>
          <w:b/>
          <w:bCs/>
          <w:sz w:val="24"/>
          <w:szCs w:val="24"/>
        </w:rPr>
        <w:t>第十章  行政处理、处罚决定的执行与结案</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w:t>
      </w:r>
      <w:r>
        <w:rPr>
          <w:rFonts w:hint="eastAsia" w:ascii="Arial" w:hAnsi="Arial" w:eastAsia="宋体" w:cs="Arial"/>
          <w:b/>
          <w:bCs/>
          <w:sz w:val="24"/>
          <w:szCs w:val="24"/>
          <w:lang w:val="en-US" w:eastAsia="zh-CN"/>
        </w:rPr>
        <w:t>三十八</w:t>
      </w:r>
      <w:r>
        <w:rPr>
          <w:rFonts w:ascii="Arial" w:hAnsi="Arial" w:eastAsia="宋体" w:cs="Arial"/>
          <w:b/>
          <w:bCs/>
          <w:sz w:val="24"/>
          <w:szCs w:val="24"/>
        </w:rPr>
        <w:t>条</w:t>
      </w:r>
      <w:r>
        <w:rPr>
          <w:rFonts w:ascii="Arial" w:hAnsi="Arial" w:eastAsia="宋体" w:cs="Arial"/>
          <w:sz w:val="24"/>
          <w:szCs w:val="24"/>
        </w:rPr>
        <w:t>  【履行行政处理、处罚决定催告】《行政处罚决定书》或《责令限期缴存通知书》送达被投诉单位后，被诉单位逾期未履行的，执法人员应制作《</w:t>
      </w:r>
      <w:r>
        <w:rPr>
          <w:rFonts w:hint="eastAsia" w:ascii="Arial" w:hAnsi="Arial" w:eastAsia="宋体" w:cs="Arial"/>
          <w:sz w:val="24"/>
          <w:szCs w:val="24"/>
          <w:lang w:eastAsia="zh-CN"/>
        </w:rPr>
        <w:t>鄂州市住房公积金中心</w:t>
      </w:r>
      <w:r>
        <w:rPr>
          <w:rFonts w:ascii="Arial" w:hAnsi="Arial" w:eastAsia="宋体" w:cs="Arial"/>
          <w:sz w:val="24"/>
          <w:szCs w:val="24"/>
        </w:rPr>
        <w:t>履行行政处理、处罚决定催告书》向被诉单位送达。</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w:t>
      </w:r>
      <w:r>
        <w:rPr>
          <w:rFonts w:hint="eastAsia" w:ascii="Arial" w:hAnsi="Arial" w:eastAsia="宋体" w:cs="Arial"/>
          <w:b/>
          <w:bCs/>
          <w:sz w:val="24"/>
          <w:szCs w:val="24"/>
          <w:lang w:val="en-US" w:eastAsia="zh-CN"/>
        </w:rPr>
        <w:t>三十九</w:t>
      </w:r>
      <w:r>
        <w:rPr>
          <w:rFonts w:ascii="Arial" w:hAnsi="Arial" w:eastAsia="宋体" w:cs="Arial"/>
          <w:b/>
          <w:bCs/>
          <w:sz w:val="24"/>
          <w:szCs w:val="24"/>
        </w:rPr>
        <w:t>条</w:t>
      </w:r>
      <w:r>
        <w:rPr>
          <w:rFonts w:ascii="Arial" w:hAnsi="Arial" w:eastAsia="宋体" w:cs="Arial"/>
          <w:sz w:val="24"/>
          <w:szCs w:val="24"/>
        </w:rPr>
        <w:t>  【申请强制执行】经催告程序后，被诉单位仍拒不履行的，中心应依据《条例》《行政强制法》相关规定向人民法院申请强制执行。</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第四十条</w:t>
      </w:r>
      <w:r>
        <w:rPr>
          <w:rFonts w:ascii="Arial" w:hAnsi="Arial" w:eastAsia="宋体" w:cs="Arial"/>
          <w:sz w:val="24"/>
          <w:szCs w:val="24"/>
        </w:rPr>
        <w:t>  【结案处理】在案件办理过程中，发生本规范规定的案件办结情形时，经审批同意作案件办结处理的，应制作《</w:t>
      </w:r>
      <w:r>
        <w:rPr>
          <w:rFonts w:hint="eastAsia" w:ascii="Arial" w:hAnsi="Arial" w:eastAsia="宋体" w:cs="Arial"/>
          <w:sz w:val="24"/>
          <w:szCs w:val="24"/>
          <w:lang w:eastAsia="zh-CN"/>
        </w:rPr>
        <w:t>鄂州市住房公积金中心</w:t>
      </w:r>
      <w:r>
        <w:rPr>
          <w:rFonts w:ascii="Arial" w:hAnsi="Arial" w:eastAsia="宋体" w:cs="Arial"/>
          <w:sz w:val="24"/>
          <w:szCs w:val="24"/>
        </w:rPr>
        <w:t>案件办结告知书》向当事人送达。</w:t>
      </w:r>
    </w:p>
    <w:p>
      <w:pPr>
        <w:shd w:val="clear" w:color="auto" w:fill="FFFFFF"/>
        <w:adjustRightInd/>
        <w:snapToGrid/>
        <w:spacing w:after="0" w:line="480" w:lineRule="atLeast"/>
        <w:jc w:val="center"/>
        <w:rPr>
          <w:rFonts w:ascii="Arial" w:hAnsi="Arial" w:eastAsia="宋体" w:cs="Arial"/>
          <w:sz w:val="24"/>
          <w:szCs w:val="24"/>
        </w:rPr>
      </w:pPr>
      <w:r>
        <w:rPr>
          <w:rFonts w:ascii="Arial" w:hAnsi="Arial" w:eastAsia="宋体" w:cs="Arial"/>
          <w:b/>
          <w:bCs/>
          <w:sz w:val="24"/>
          <w:szCs w:val="24"/>
        </w:rPr>
        <w:t>第十一章  文书送达</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第四十</w:t>
      </w:r>
      <w:r>
        <w:rPr>
          <w:rFonts w:hint="eastAsia" w:ascii="Arial" w:hAnsi="Arial" w:eastAsia="宋体" w:cs="Arial"/>
          <w:b/>
          <w:bCs/>
          <w:sz w:val="24"/>
          <w:szCs w:val="24"/>
          <w:lang w:val="en-US" w:eastAsia="zh-CN"/>
        </w:rPr>
        <w:t>一</w:t>
      </w:r>
      <w:r>
        <w:rPr>
          <w:rFonts w:ascii="Arial" w:hAnsi="Arial" w:eastAsia="宋体" w:cs="Arial"/>
          <w:b/>
          <w:bCs/>
          <w:sz w:val="24"/>
          <w:szCs w:val="24"/>
        </w:rPr>
        <w:t>条</w:t>
      </w:r>
      <w:r>
        <w:rPr>
          <w:rFonts w:ascii="Arial" w:hAnsi="Arial" w:eastAsia="宋体" w:cs="Arial"/>
          <w:sz w:val="24"/>
          <w:szCs w:val="24"/>
        </w:rPr>
        <w:t>  【文书送达方式及要求】在行政执法案件办理过程中，行政执法文书应优先选择向受送达人直接送达或电子送达，若直接送达或电子送达存在困难的，可按照相关法律法规规定的其他方式送达，主要包括：邮寄送达、留置送达和公告送达。</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1.直接送达</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直接送达时应以将行政执法文书直接交给受送达人本人为原则，可通知受送达人到执法部门领取。执法人员在送达文书后，应填写《</w:t>
      </w:r>
      <w:r>
        <w:rPr>
          <w:rFonts w:hint="eastAsia" w:ascii="Arial" w:hAnsi="Arial" w:eastAsia="宋体" w:cs="Arial"/>
          <w:sz w:val="24"/>
          <w:szCs w:val="24"/>
          <w:lang w:eastAsia="zh-CN"/>
        </w:rPr>
        <w:t>鄂州市住房公积金中心</w:t>
      </w:r>
      <w:r>
        <w:rPr>
          <w:rFonts w:ascii="Arial" w:hAnsi="Arial" w:eastAsia="宋体" w:cs="Arial"/>
          <w:sz w:val="24"/>
          <w:szCs w:val="24"/>
        </w:rPr>
        <w:t>送达</w:t>
      </w:r>
      <w:r>
        <w:rPr>
          <w:rFonts w:hint="eastAsia" w:ascii="Arial" w:hAnsi="Arial" w:eastAsia="宋体" w:cs="Arial"/>
          <w:sz w:val="24"/>
          <w:szCs w:val="24"/>
          <w:lang w:eastAsia="zh-CN"/>
        </w:rPr>
        <w:t>回证</w:t>
      </w:r>
      <w:r>
        <w:rPr>
          <w:rFonts w:ascii="Arial" w:hAnsi="Arial" w:eastAsia="宋体" w:cs="Arial"/>
          <w:sz w:val="24"/>
          <w:szCs w:val="24"/>
        </w:rPr>
        <w:t>》（以下简称《送达</w:t>
      </w:r>
      <w:r>
        <w:rPr>
          <w:rFonts w:hint="eastAsia" w:ascii="Arial" w:hAnsi="Arial" w:eastAsia="宋体" w:cs="Arial"/>
          <w:sz w:val="24"/>
          <w:szCs w:val="24"/>
          <w:lang w:eastAsia="zh-CN"/>
        </w:rPr>
        <w:t>回证</w:t>
      </w:r>
      <w:r>
        <w:rPr>
          <w:rFonts w:ascii="Arial" w:hAnsi="Arial" w:eastAsia="宋体" w:cs="Arial"/>
          <w:sz w:val="24"/>
          <w:szCs w:val="24"/>
        </w:rPr>
        <w:t>》），由受送达人签字或盖章确认并注明签收日期。</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2.电子送达</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受送达人同意采取电子送达方式接收行政执法文书的，应在《送达地址确认书》中留存电子邮箱并签字或盖章确认。执法人员应填写《送达</w:t>
      </w:r>
      <w:r>
        <w:rPr>
          <w:rFonts w:hint="eastAsia" w:ascii="Arial" w:hAnsi="Arial" w:eastAsia="宋体" w:cs="Arial"/>
          <w:sz w:val="24"/>
          <w:szCs w:val="24"/>
          <w:lang w:eastAsia="zh-CN"/>
        </w:rPr>
        <w:t>回证</w:t>
      </w:r>
      <w:r>
        <w:rPr>
          <w:rFonts w:ascii="Arial" w:hAnsi="Arial" w:eastAsia="宋体" w:cs="Arial"/>
          <w:sz w:val="24"/>
          <w:szCs w:val="24"/>
        </w:rPr>
        <w:t>》并留存邮件接收凭证。如邮件发出5个工作日后仍未收到已读</w:t>
      </w:r>
      <w:r>
        <w:rPr>
          <w:rFonts w:hint="eastAsia" w:ascii="Arial" w:hAnsi="Arial" w:eastAsia="宋体" w:cs="Arial"/>
          <w:sz w:val="24"/>
          <w:szCs w:val="24"/>
          <w:lang w:eastAsia="zh-CN"/>
        </w:rPr>
        <w:t>回证</w:t>
      </w:r>
      <w:r>
        <w:rPr>
          <w:rFonts w:ascii="Arial" w:hAnsi="Arial" w:eastAsia="宋体" w:cs="Arial"/>
          <w:sz w:val="24"/>
          <w:szCs w:val="24"/>
        </w:rPr>
        <w:t>，视为电子送达失败，执法人员应采取其他送达方式。</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3.邮寄送达</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atLeast"/>
        <w:ind w:firstLine="480" w:firstLineChars="200"/>
        <w:textAlignment w:val="auto"/>
        <w:rPr>
          <w:rFonts w:ascii="Arial" w:hAnsi="Arial" w:eastAsia="宋体" w:cs="Arial"/>
          <w:sz w:val="24"/>
          <w:szCs w:val="24"/>
        </w:rPr>
      </w:pPr>
      <w:r>
        <w:rPr>
          <w:rFonts w:ascii="Arial" w:hAnsi="Arial" w:eastAsia="宋体" w:cs="Arial"/>
          <w:sz w:val="24"/>
          <w:szCs w:val="24"/>
        </w:rPr>
        <w:t>受送达人同意采取邮寄送达方式接收行政执法文书的，应在《送达地址确认书》中留存送达地址并签字或盖章确认。执法人员应通过国家邮政机构采取挂号信或EMS的方式向《送达地址确认书》中确认的地址邮寄行政执法文书，物流显示签收即视为送达，执法人员应填写《送达</w:t>
      </w:r>
      <w:r>
        <w:rPr>
          <w:rFonts w:hint="eastAsia" w:ascii="Arial" w:hAnsi="Arial" w:eastAsia="宋体" w:cs="Arial"/>
          <w:sz w:val="24"/>
          <w:szCs w:val="24"/>
          <w:lang w:eastAsia="zh-CN"/>
        </w:rPr>
        <w:t>回证</w:t>
      </w:r>
      <w:r>
        <w:rPr>
          <w:rFonts w:ascii="Arial" w:hAnsi="Arial" w:eastAsia="宋体" w:cs="Arial"/>
          <w:sz w:val="24"/>
          <w:szCs w:val="24"/>
        </w:rPr>
        <w:t>》并留存邮寄凭证。</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atLeast"/>
        <w:ind w:firstLine="480" w:firstLineChars="200"/>
        <w:textAlignment w:val="auto"/>
        <w:rPr>
          <w:rFonts w:ascii="Arial" w:hAnsi="Arial" w:eastAsia="宋体" w:cs="Arial"/>
          <w:sz w:val="24"/>
          <w:szCs w:val="24"/>
        </w:rPr>
      </w:pPr>
      <w:r>
        <w:rPr>
          <w:rFonts w:hint="eastAsia" w:ascii="Arial" w:hAnsi="Arial" w:eastAsia="宋体" w:cs="Arial"/>
          <w:sz w:val="24"/>
          <w:szCs w:val="24"/>
          <w:lang w:val="en-US" w:eastAsia="zh-CN"/>
        </w:rPr>
        <w:t>4.留置送达</w:t>
      </w:r>
      <w:r>
        <w:rPr>
          <w:rFonts w:ascii="Arial" w:hAnsi="Arial" w:eastAsia="宋体" w:cs="Arial"/>
          <w:sz w:val="24"/>
          <w:szCs w:val="24"/>
        </w:rPr>
        <w:t>　　</w:t>
      </w:r>
      <w:r>
        <w:rPr>
          <w:rFonts w:hint="eastAsia" w:ascii="Arial" w:hAnsi="Arial" w:eastAsia="宋体" w:cs="Arial"/>
          <w:sz w:val="24"/>
          <w:szCs w:val="24"/>
          <w:lang w:val="en-US" w:eastAsia="zh-CN"/>
        </w:rPr>
        <w:t xml:space="preserve">                                                    </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受送达人拒不配合签收行政执法文书的，执法人员应通过执法记录仪详细记录，并邀请物业或街道、居委会等部门工作人员到场作为见证人，由送达人、见证人签名后，把文书留置在受送达人处所；也可以把行政执法文书留置在受送达人住所，并采用拍照、录像等方式记录送达过程，即视为送达，执法人员应填写《送达</w:t>
      </w:r>
      <w:r>
        <w:rPr>
          <w:rFonts w:hint="eastAsia" w:ascii="Arial" w:hAnsi="Arial" w:eastAsia="宋体" w:cs="Arial"/>
          <w:sz w:val="24"/>
          <w:szCs w:val="24"/>
          <w:lang w:eastAsia="zh-CN"/>
        </w:rPr>
        <w:t>回证</w:t>
      </w:r>
      <w:r>
        <w:rPr>
          <w:rFonts w:ascii="Arial" w:hAnsi="Arial" w:eastAsia="宋体" w:cs="Arial"/>
          <w:sz w:val="24"/>
          <w:szCs w:val="24"/>
        </w:rPr>
        <w:t>》并注明受送达人拒收事由和日期等相关情况。</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5.公告送达</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在受送达人下落不明，或者用其他方式无法送达的情况下，应在中心官网公告送达。自行政执法文书发布公告之日起经过30日，即视为送达，执法人员应填写《送达</w:t>
      </w:r>
      <w:r>
        <w:rPr>
          <w:rFonts w:hint="eastAsia" w:ascii="Arial" w:hAnsi="Arial" w:eastAsia="宋体" w:cs="Arial"/>
          <w:sz w:val="24"/>
          <w:szCs w:val="24"/>
          <w:lang w:eastAsia="zh-CN"/>
        </w:rPr>
        <w:t>回证</w:t>
      </w:r>
      <w:r>
        <w:rPr>
          <w:rFonts w:ascii="Arial" w:hAnsi="Arial" w:eastAsia="宋体" w:cs="Arial"/>
          <w:sz w:val="24"/>
          <w:szCs w:val="24"/>
        </w:rPr>
        <w:t>》并注明相关情况。</w:t>
      </w:r>
    </w:p>
    <w:p>
      <w:pPr>
        <w:shd w:val="clear" w:color="auto" w:fill="FFFFFF"/>
        <w:adjustRightInd/>
        <w:snapToGrid/>
        <w:spacing w:after="0" w:line="480" w:lineRule="atLeast"/>
        <w:jc w:val="center"/>
        <w:rPr>
          <w:rFonts w:ascii="Arial" w:hAnsi="Arial" w:eastAsia="宋体" w:cs="Arial"/>
          <w:sz w:val="24"/>
          <w:szCs w:val="24"/>
        </w:rPr>
      </w:pPr>
      <w:r>
        <w:rPr>
          <w:rFonts w:ascii="Arial" w:hAnsi="Arial" w:eastAsia="宋体" w:cs="Arial"/>
          <w:b/>
          <w:bCs/>
          <w:sz w:val="24"/>
          <w:szCs w:val="24"/>
        </w:rPr>
        <w:t>第十二章  附  则</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第四十</w:t>
      </w:r>
      <w:r>
        <w:rPr>
          <w:rFonts w:hint="eastAsia" w:ascii="Arial" w:hAnsi="Arial" w:eastAsia="宋体" w:cs="Arial"/>
          <w:b/>
          <w:bCs/>
          <w:sz w:val="24"/>
          <w:szCs w:val="24"/>
          <w:lang w:val="en-US" w:eastAsia="zh-CN"/>
        </w:rPr>
        <w:t>二</w:t>
      </w:r>
      <w:r>
        <w:rPr>
          <w:rFonts w:ascii="Arial" w:hAnsi="Arial" w:eastAsia="宋体" w:cs="Arial"/>
          <w:b/>
          <w:bCs/>
          <w:sz w:val="24"/>
          <w:szCs w:val="24"/>
        </w:rPr>
        <w:t>条</w:t>
      </w:r>
      <w:r>
        <w:rPr>
          <w:rFonts w:ascii="Arial" w:hAnsi="Arial" w:eastAsia="宋体" w:cs="Arial"/>
          <w:sz w:val="24"/>
          <w:szCs w:val="24"/>
        </w:rPr>
        <w:t>  【期限顺延规定】本规范中规定的期限届满日为法定节假日的，期限顺延至法定节假日后的第一个工作日。</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第四十</w:t>
      </w:r>
      <w:r>
        <w:rPr>
          <w:rFonts w:hint="eastAsia" w:ascii="Arial" w:hAnsi="Arial" w:eastAsia="宋体" w:cs="Arial"/>
          <w:b/>
          <w:bCs/>
          <w:sz w:val="24"/>
          <w:szCs w:val="24"/>
          <w:lang w:val="en-US" w:eastAsia="zh-CN"/>
        </w:rPr>
        <w:t>三</w:t>
      </w:r>
      <w:r>
        <w:rPr>
          <w:rFonts w:ascii="Arial" w:hAnsi="Arial" w:eastAsia="宋体" w:cs="Arial"/>
          <w:b/>
          <w:bCs/>
          <w:sz w:val="24"/>
          <w:szCs w:val="24"/>
        </w:rPr>
        <w:t>条</w:t>
      </w:r>
      <w:r>
        <w:rPr>
          <w:rFonts w:ascii="Arial" w:hAnsi="Arial" w:eastAsia="宋体" w:cs="Arial"/>
          <w:sz w:val="24"/>
          <w:szCs w:val="24"/>
        </w:rPr>
        <w:t>  【时间规定】本规范中除“工作日”以外，所指的“日”均为“自然日”。</w:t>
      </w:r>
    </w:p>
    <w:p>
      <w:pPr>
        <w:shd w:val="clear" w:color="auto" w:fill="FFFFFF"/>
        <w:adjustRightInd/>
        <w:snapToGrid/>
        <w:spacing w:after="0" w:line="480" w:lineRule="atLeast"/>
        <w:rPr>
          <w:rFonts w:ascii="Arial" w:hAnsi="Arial" w:eastAsia="宋体" w:cs="Arial"/>
          <w:sz w:val="24"/>
          <w:szCs w:val="24"/>
        </w:rPr>
      </w:pPr>
      <w:r>
        <w:rPr>
          <w:rFonts w:ascii="Arial" w:hAnsi="Arial" w:eastAsia="宋体" w:cs="Arial"/>
          <w:sz w:val="24"/>
          <w:szCs w:val="24"/>
        </w:rPr>
        <w:t>　　</w:t>
      </w:r>
      <w:r>
        <w:rPr>
          <w:rFonts w:ascii="Arial" w:hAnsi="Arial" w:eastAsia="宋体" w:cs="Arial"/>
          <w:b/>
          <w:bCs/>
          <w:sz w:val="24"/>
          <w:szCs w:val="24"/>
        </w:rPr>
        <w:t>第四十</w:t>
      </w:r>
      <w:r>
        <w:rPr>
          <w:rFonts w:hint="eastAsia" w:ascii="Arial" w:hAnsi="Arial" w:eastAsia="宋体" w:cs="Arial"/>
          <w:b/>
          <w:bCs/>
          <w:sz w:val="24"/>
          <w:szCs w:val="24"/>
          <w:lang w:val="en-US" w:eastAsia="zh-CN"/>
        </w:rPr>
        <w:t>四</w:t>
      </w:r>
      <w:r>
        <w:rPr>
          <w:rFonts w:ascii="Arial" w:hAnsi="Arial" w:eastAsia="宋体" w:cs="Arial"/>
          <w:b/>
          <w:bCs/>
          <w:sz w:val="24"/>
          <w:szCs w:val="24"/>
        </w:rPr>
        <w:t>条  </w:t>
      </w:r>
      <w:r>
        <w:rPr>
          <w:rFonts w:ascii="Arial" w:hAnsi="Arial" w:eastAsia="宋体" w:cs="Arial"/>
          <w:sz w:val="24"/>
          <w:szCs w:val="24"/>
        </w:rPr>
        <w:t>【施行时间】本规范自颁布之日起施行。</w:t>
      </w:r>
    </w:p>
    <w:p>
      <w:pPr>
        <w:spacing w:line="220" w:lineRule="atLeast"/>
        <w:rPr>
          <w:rFonts w:ascii="黑体" w:hAnsi="黑体" w:eastAsia="黑体"/>
          <w:sz w:val="36"/>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85F44A"/>
    <w:multiLevelType w:val="singleLevel"/>
    <w:tmpl w:val="E785F44A"/>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31763"/>
    <w:rsid w:val="002C243C"/>
    <w:rsid w:val="00323B43"/>
    <w:rsid w:val="003D37D8"/>
    <w:rsid w:val="00426133"/>
    <w:rsid w:val="004358AB"/>
    <w:rsid w:val="004E77B4"/>
    <w:rsid w:val="00654C6C"/>
    <w:rsid w:val="007643E8"/>
    <w:rsid w:val="007D2E76"/>
    <w:rsid w:val="00821393"/>
    <w:rsid w:val="00870058"/>
    <w:rsid w:val="00896062"/>
    <w:rsid w:val="008B7726"/>
    <w:rsid w:val="00935EDD"/>
    <w:rsid w:val="00B623A5"/>
    <w:rsid w:val="00BA57C3"/>
    <w:rsid w:val="00D30CA5"/>
    <w:rsid w:val="00D31D50"/>
    <w:rsid w:val="00DA28C3"/>
    <w:rsid w:val="00DB2146"/>
    <w:rsid w:val="00DF60CD"/>
    <w:rsid w:val="00E84818"/>
    <w:rsid w:val="00EC27C5"/>
    <w:rsid w:val="00F62687"/>
    <w:rsid w:val="02684F7E"/>
    <w:rsid w:val="037F20C6"/>
    <w:rsid w:val="04DF6C8C"/>
    <w:rsid w:val="056654A7"/>
    <w:rsid w:val="071A2D33"/>
    <w:rsid w:val="0860304A"/>
    <w:rsid w:val="08610ACC"/>
    <w:rsid w:val="09293487"/>
    <w:rsid w:val="0A872E07"/>
    <w:rsid w:val="0D1237AB"/>
    <w:rsid w:val="0DF860D4"/>
    <w:rsid w:val="0EAC5C42"/>
    <w:rsid w:val="0F0A6ADE"/>
    <w:rsid w:val="114378E0"/>
    <w:rsid w:val="14F2281D"/>
    <w:rsid w:val="155A7A09"/>
    <w:rsid w:val="16C54A69"/>
    <w:rsid w:val="1F830D3F"/>
    <w:rsid w:val="203908B5"/>
    <w:rsid w:val="20C54AB1"/>
    <w:rsid w:val="224927CC"/>
    <w:rsid w:val="236906A5"/>
    <w:rsid w:val="23E76D75"/>
    <w:rsid w:val="24B81EA4"/>
    <w:rsid w:val="255766ED"/>
    <w:rsid w:val="257C6E0B"/>
    <w:rsid w:val="26C04005"/>
    <w:rsid w:val="27A91876"/>
    <w:rsid w:val="28FE6A4D"/>
    <w:rsid w:val="2BC74CE2"/>
    <w:rsid w:val="2C93723C"/>
    <w:rsid w:val="2E51438B"/>
    <w:rsid w:val="2FC63D81"/>
    <w:rsid w:val="2FCA28F3"/>
    <w:rsid w:val="30372BF0"/>
    <w:rsid w:val="32EB1216"/>
    <w:rsid w:val="343338F1"/>
    <w:rsid w:val="34E9325B"/>
    <w:rsid w:val="35A65E45"/>
    <w:rsid w:val="36331F78"/>
    <w:rsid w:val="376D09FB"/>
    <w:rsid w:val="3A080B0F"/>
    <w:rsid w:val="3A1918DE"/>
    <w:rsid w:val="3AF37043"/>
    <w:rsid w:val="42025E5E"/>
    <w:rsid w:val="45C27C01"/>
    <w:rsid w:val="4619280E"/>
    <w:rsid w:val="476F0BC1"/>
    <w:rsid w:val="48423E9E"/>
    <w:rsid w:val="48472E23"/>
    <w:rsid w:val="491102ED"/>
    <w:rsid w:val="49496A9F"/>
    <w:rsid w:val="4B4965D0"/>
    <w:rsid w:val="4B6608F2"/>
    <w:rsid w:val="4BB255D6"/>
    <w:rsid w:val="4BC27856"/>
    <w:rsid w:val="4BDA77E0"/>
    <w:rsid w:val="4CBB10F3"/>
    <w:rsid w:val="4D4A3E5A"/>
    <w:rsid w:val="4D5A3FA2"/>
    <w:rsid w:val="4E3C24E9"/>
    <w:rsid w:val="505C5275"/>
    <w:rsid w:val="50740AC8"/>
    <w:rsid w:val="521D19E5"/>
    <w:rsid w:val="52BF2FD2"/>
    <w:rsid w:val="537965F4"/>
    <w:rsid w:val="539564AD"/>
    <w:rsid w:val="53D44C20"/>
    <w:rsid w:val="580F0885"/>
    <w:rsid w:val="587F7A3D"/>
    <w:rsid w:val="5E6437E8"/>
    <w:rsid w:val="608F149F"/>
    <w:rsid w:val="62E245C6"/>
    <w:rsid w:val="63AA27F8"/>
    <w:rsid w:val="64D03DF2"/>
    <w:rsid w:val="66BF0E66"/>
    <w:rsid w:val="69E37EAB"/>
    <w:rsid w:val="6AD24990"/>
    <w:rsid w:val="6B464D0B"/>
    <w:rsid w:val="6EB105AA"/>
    <w:rsid w:val="7063216F"/>
    <w:rsid w:val="72827F6B"/>
    <w:rsid w:val="72B40B82"/>
    <w:rsid w:val="74077D67"/>
    <w:rsid w:val="75F57592"/>
    <w:rsid w:val="765C023B"/>
    <w:rsid w:val="76D54682"/>
    <w:rsid w:val="775A5F60"/>
    <w:rsid w:val="77F75A5E"/>
    <w:rsid w:val="7AB3115A"/>
    <w:rsid w:val="7AF122C4"/>
    <w:rsid w:val="7C4250E9"/>
    <w:rsid w:val="7ED2669C"/>
    <w:rsid w:val="7F842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1043</Words>
  <Characters>5946</Characters>
  <Lines>49</Lines>
  <Paragraphs>13</Paragraphs>
  <TotalTime>62</TotalTime>
  <ScaleCrop>false</ScaleCrop>
  <LinksUpToDate>false</LinksUpToDate>
  <CharactersWithSpaces>6976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2025-01-16T08:02:24Z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8F32B437534D44EDBA98D4F715E8D4E5</vt:lpwstr>
  </property>
</Properties>
</file>